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570" w:rsidRDefault="007C3913">
      <w:pPr>
        <w:ind w:left="-567"/>
      </w:pPr>
      <w:r>
        <w:rPr>
          <w:rFonts w:ascii="Garamond" w:eastAsia="Garamond" w:hAnsi="Garamond" w:cs="Garamond"/>
        </w:rPr>
        <w:t xml:space="preserve">Venezia, Isola di San Giorgio Maggiore </w:t>
      </w:r>
    </w:p>
    <w:p w:rsidR="008F5570" w:rsidRDefault="009C782F" w:rsidP="006838E9">
      <w:pPr>
        <w:ind w:left="-567"/>
      </w:pPr>
      <w:r>
        <w:rPr>
          <w:rFonts w:ascii="Garamond" w:eastAsia="Garamond" w:hAnsi="Garamond" w:cs="Garamond"/>
        </w:rPr>
        <w:t>22</w:t>
      </w:r>
      <w:r w:rsidR="006838E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settembre</w:t>
      </w:r>
      <w:r w:rsidR="009337B1">
        <w:rPr>
          <w:rFonts w:ascii="Garamond" w:eastAsia="Garamond" w:hAnsi="Garamond" w:cs="Garamond"/>
        </w:rPr>
        <w:t xml:space="preserve"> 2017</w:t>
      </w:r>
      <w:r w:rsidR="007C3913">
        <w:rPr>
          <w:rFonts w:ascii="Garamond" w:eastAsia="Garamond" w:hAnsi="Garamond" w:cs="Garamond"/>
          <w:sz w:val="28"/>
          <w:szCs w:val="28"/>
        </w:rPr>
        <w:br/>
      </w:r>
    </w:p>
    <w:p w:rsidR="008F5570" w:rsidRDefault="008F5570">
      <w:pPr>
        <w:ind w:left="-567"/>
        <w:jc w:val="both"/>
      </w:pPr>
    </w:p>
    <w:p w:rsidR="008F5570" w:rsidRDefault="00111C88">
      <w:pPr>
        <w:ind w:left="-567"/>
      </w:pPr>
      <w:r w:rsidRPr="00111C88">
        <w:rPr>
          <w:rFonts w:ascii="Garamond" w:eastAsia="Garamond" w:hAnsi="Garamond" w:cs="Garamond"/>
          <w:b/>
          <w:sz w:val="40"/>
          <w:szCs w:val="40"/>
        </w:rPr>
        <w:t>L’archivio del compositore Niccolò Castiglioni alla Fondazione Cini</w:t>
      </w:r>
    </w:p>
    <w:p w:rsidR="008F5570" w:rsidRDefault="008F5570">
      <w:pPr>
        <w:ind w:left="-567"/>
      </w:pPr>
    </w:p>
    <w:p w:rsidR="008F5570" w:rsidRDefault="00111C88" w:rsidP="00111C88">
      <w:pPr>
        <w:ind w:left="-567"/>
        <w:jc w:val="both"/>
      </w:pPr>
      <w:r w:rsidRPr="00111C88">
        <w:rPr>
          <w:rFonts w:ascii="Garamond" w:eastAsia="Garamond" w:hAnsi="Garamond" w:cs="Garamond"/>
          <w:b/>
          <w:i/>
          <w:sz w:val="28"/>
          <w:szCs w:val="28"/>
        </w:rPr>
        <w:t xml:space="preserve">Un nuovo corpus documentario si aggiunge al ricco patrimonio musicale dell’Istituto per la Musica, che conferma il suo ruolo </w:t>
      </w:r>
      <w:r w:rsidR="00FB3A58" w:rsidRPr="00090A08">
        <w:rPr>
          <w:rFonts w:ascii="Garamond" w:eastAsia="Garamond" w:hAnsi="Garamond" w:cs="Garamond"/>
          <w:b/>
          <w:i/>
          <w:sz w:val="28"/>
          <w:szCs w:val="28"/>
        </w:rPr>
        <w:t>di</w:t>
      </w:r>
      <w:r w:rsidRPr="00111C88">
        <w:rPr>
          <w:rFonts w:ascii="Garamond" w:eastAsia="Garamond" w:hAnsi="Garamond" w:cs="Garamond"/>
          <w:b/>
          <w:i/>
          <w:sz w:val="28"/>
          <w:szCs w:val="28"/>
        </w:rPr>
        <w:t xml:space="preserve"> uno dei più importanti archivi musicali dei secoli ventesimo e ventunesimo</w:t>
      </w:r>
    </w:p>
    <w:p w:rsidR="008F5570" w:rsidRDefault="008F5570" w:rsidP="009337B1">
      <w:pPr>
        <w:jc w:val="both"/>
      </w:pPr>
      <w:bookmarkStart w:id="0" w:name="_gjdgxs" w:colFirst="0" w:colLast="0"/>
      <w:bookmarkEnd w:id="0"/>
    </w:p>
    <w:p w:rsidR="009337B1" w:rsidRDefault="00111C88" w:rsidP="009337B1">
      <w:pPr>
        <w:ind w:left="-567"/>
        <w:jc w:val="both"/>
        <w:rPr>
          <w:rFonts w:ascii="Garamond" w:eastAsia="Garamond" w:hAnsi="Garamond" w:cs="Garamond"/>
        </w:rPr>
      </w:pPr>
      <w:r w:rsidRPr="00111C88">
        <w:rPr>
          <w:rFonts w:ascii="Garamond" w:eastAsia="Garamond" w:hAnsi="Garamond" w:cs="Garamond"/>
        </w:rPr>
        <w:t>L’</w:t>
      </w:r>
      <w:r w:rsidRPr="00111C88">
        <w:rPr>
          <w:rFonts w:ascii="Garamond" w:eastAsia="Garamond" w:hAnsi="Garamond" w:cs="Garamond"/>
          <w:b/>
        </w:rPr>
        <w:t>Istituto per la Musica</w:t>
      </w:r>
      <w:r w:rsidRPr="00111C88">
        <w:rPr>
          <w:rFonts w:ascii="Garamond" w:eastAsia="Garamond" w:hAnsi="Garamond" w:cs="Garamond"/>
        </w:rPr>
        <w:t xml:space="preserve"> della Fondazione Giorgio Cini annuncia una nuova importan</w:t>
      </w:r>
      <w:bookmarkStart w:id="1" w:name="_GoBack"/>
      <w:bookmarkEnd w:id="1"/>
      <w:r w:rsidRPr="00111C88">
        <w:rPr>
          <w:rFonts w:ascii="Garamond" w:eastAsia="Garamond" w:hAnsi="Garamond" w:cs="Garamond"/>
        </w:rPr>
        <w:t xml:space="preserve">te acquisizione: l’archivio personale del pianista e compositore </w:t>
      </w:r>
      <w:r w:rsidRPr="00111C88">
        <w:rPr>
          <w:rFonts w:ascii="Garamond" w:eastAsia="Garamond" w:hAnsi="Garamond" w:cs="Garamond"/>
          <w:b/>
        </w:rPr>
        <w:t>Niccolò Castiglioni (1932-1996)</w:t>
      </w:r>
      <w:r w:rsidRPr="00111C88">
        <w:rPr>
          <w:rFonts w:ascii="Garamond" w:eastAsia="Garamond" w:hAnsi="Garamond" w:cs="Garamond"/>
        </w:rPr>
        <w:t xml:space="preserve">, una delle voci più originali della musica italiana del secondo Novecento. Grazie alla generosa donazione di </w:t>
      </w:r>
      <w:r w:rsidRPr="00111C88">
        <w:rPr>
          <w:rFonts w:ascii="Garamond" w:eastAsia="Garamond" w:hAnsi="Garamond" w:cs="Garamond"/>
          <w:b/>
        </w:rPr>
        <w:t>Luigi Mandelli</w:t>
      </w:r>
      <w:r w:rsidRPr="00111C88">
        <w:rPr>
          <w:rFonts w:ascii="Garamond" w:eastAsia="Garamond" w:hAnsi="Garamond" w:cs="Garamond"/>
        </w:rPr>
        <w:t>, ex allievo e curatore del lascito del compositore, il fondo di documenti si aggiunge al ricco patrimonio musicale conservato sull’Isola di San Giorgio Maggiore a Venezia. Una volta condizionati e catalogati, i materiali saranno progressivamente messi a disposizione di quanti vorranno approfondirne lo studio.</w:t>
      </w:r>
    </w:p>
    <w:p w:rsidR="00111C88" w:rsidRDefault="00111C88" w:rsidP="009337B1">
      <w:pPr>
        <w:ind w:left="-567"/>
        <w:jc w:val="both"/>
        <w:rPr>
          <w:rFonts w:ascii="Garamond" w:eastAsia="Garamond" w:hAnsi="Garamond" w:cs="Garamond"/>
        </w:rPr>
      </w:pPr>
    </w:p>
    <w:p w:rsidR="00111C88" w:rsidRPr="00111C88" w:rsidRDefault="00111C88" w:rsidP="00111C88">
      <w:pPr>
        <w:ind w:left="-567"/>
        <w:jc w:val="both"/>
        <w:rPr>
          <w:rFonts w:ascii="Garamond" w:eastAsia="Garamond" w:hAnsi="Garamond" w:cs="Garamond"/>
        </w:rPr>
      </w:pPr>
      <w:r w:rsidRPr="00111C88">
        <w:rPr>
          <w:rFonts w:ascii="Garamond" w:eastAsia="Garamond" w:hAnsi="Garamond" w:cs="Garamond"/>
        </w:rPr>
        <w:t xml:space="preserve">La parte più consistente dell’archivio è costituita dal corpus di manoscritti musicali: </w:t>
      </w:r>
      <w:r w:rsidRPr="00111C88">
        <w:rPr>
          <w:rFonts w:ascii="Garamond" w:eastAsia="Garamond" w:hAnsi="Garamond" w:cs="Garamond"/>
          <w:b/>
        </w:rPr>
        <w:t>circa</w:t>
      </w:r>
      <w:r w:rsidRPr="00111C88">
        <w:rPr>
          <w:rFonts w:ascii="Garamond" w:eastAsia="Garamond" w:hAnsi="Garamond" w:cs="Garamond"/>
        </w:rPr>
        <w:t xml:space="preserve"> </w:t>
      </w:r>
      <w:r w:rsidRPr="00111C88">
        <w:rPr>
          <w:rFonts w:ascii="Garamond" w:eastAsia="Garamond" w:hAnsi="Garamond" w:cs="Garamond"/>
          <w:b/>
        </w:rPr>
        <w:t>2.500 carte di schizzi</w:t>
      </w:r>
      <w:r w:rsidRPr="00111C88">
        <w:rPr>
          <w:rFonts w:ascii="Garamond" w:eastAsia="Garamond" w:hAnsi="Garamond" w:cs="Garamond"/>
        </w:rPr>
        <w:t xml:space="preserve">, </w:t>
      </w:r>
      <w:r w:rsidRPr="00111C88">
        <w:rPr>
          <w:rFonts w:ascii="Garamond" w:eastAsia="Garamond" w:hAnsi="Garamond" w:cs="Garamond"/>
          <w:b/>
        </w:rPr>
        <w:t>abbozzi</w:t>
      </w:r>
      <w:r w:rsidRPr="00111C88">
        <w:rPr>
          <w:rFonts w:ascii="Garamond" w:eastAsia="Garamond" w:hAnsi="Garamond" w:cs="Garamond"/>
        </w:rPr>
        <w:t xml:space="preserve"> e </w:t>
      </w:r>
      <w:r w:rsidRPr="00111C88">
        <w:rPr>
          <w:rFonts w:ascii="Garamond" w:eastAsia="Garamond" w:hAnsi="Garamond" w:cs="Garamond"/>
          <w:b/>
        </w:rPr>
        <w:t>stesure</w:t>
      </w:r>
      <w:r w:rsidRPr="00111C88">
        <w:rPr>
          <w:rFonts w:ascii="Garamond" w:eastAsia="Garamond" w:hAnsi="Garamond" w:cs="Garamond"/>
        </w:rPr>
        <w:t xml:space="preserve"> che rappresentano una testimonianza fondamentale dei metodi di lavoro e dell’itinerario artistico di Castiglioni. Vi sono conservate numerose opere giovanili, dagli esordi precoci del 1940 al diploma in composizione, ottenuto nel 1953 con un </w:t>
      </w:r>
      <w:r w:rsidRPr="00111C88">
        <w:rPr>
          <w:rFonts w:ascii="Garamond" w:eastAsia="Garamond" w:hAnsi="Garamond" w:cs="Garamond"/>
          <w:i/>
        </w:rPr>
        <w:t>Mistero della resurrezione</w:t>
      </w:r>
      <w:r w:rsidRPr="00111C88">
        <w:rPr>
          <w:rFonts w:ascii="Garamond" w:eastAsia="Garamond" w:hAnsi="Garamond" w:cs="Garamond"/>
        </w:rPr>
        <w:t xml:space="preserve"> per voci e orchestra da camera. Oltre a documentare in modo pressoché esaustivo la produzione degli anni Cinquanta, la raccolta comprende diversi schizzi e stesure delle opere mature del compositore. Menzione particolare merita il manoscritto inedito di </w:t>
      </w:r>
      <w:r w:rsidRPr="00111C88">
        <w:rPr>
          <w:rFonts w:ascii="Garamond" w:eastAsia="Garamond" w:hAnsi="Garamond" w:cs="Garamond"/>
          <w:i/>
        </w:rPr>
        <w:t>Uomini e no</w:t>
      </w:r>
      <w:r w:rsidRPr="00111C88">
        <w:rPr>
          <w:rFonts w:ascii="Garamond" w:eastAsia="Garamond" w:hAnsi="Garamond" w:cs="Garamond"/>
        </w:rPr>
        <w:t xml:space="preserve"> (1954-55), opera in un atto tratta dal romanzo omonimo di Elio Vittorini. Di notevole interesse anche la corrispondenza con case editrici, compositori e organizzatori musicali, tra cui Luciano Berio, Pierre </w:t>
      </w:r>
      <w:proofErr w:type="spellStart"/>
      <w:r w:rsidRPr="00111C88">
        <w:rPr>
          <w:rFonts w:ascii="Garamond" w:eastAsia="Garamond" w:hAnsi="Garamond" w:cs="Garamond"/>
        </w:rPr>
        <w:t>Boulez</w:t>
      </w:r>
      <w:proofErr w:type="spellEnd"/>
      <w:r w:rsidRPr="00111C88">
        <w:rPr>
          <w:rFonts w:ascii="Garamond" w:eastAsia="Garamond" w:hAnsi="Garamond" w:cs="Garamond"/>
        </w:rPr>
        <w:t xml:space="preserve">, Luigi Nono, Wolfgang </w:t>
      </w:r>
      <w:proofErr w:type="spellStart"/>
      <w:r w:rsidRPr="00111C88">
        <w:rPr>
          <w:rFonts w:ascii="Garamond" w:eastAsia="Garamond" w:hAnsi="Garamond" w:cs="Garamond"/>
        </w:rPr>
        <w:t>Steinecke</w:t>
      </w:r>
      <w:proofErr w:type="spellEnd"/>
      <w:r w:rsidRPr="00111C88">
        <w:rPr>
          <w:rFonts w:ascii="Garamond" w:eastAsia="Garamond" w:hAnsi="Garamond" w:cs="Garamond"/>
        </w:rPr>
        <w:t xml:space="preserve">, </w:t>
      </w:r>
      <w:proofErr w:type="spellStart"/>
      <w:r w:rsidRPr="00111C88">
        <w:rPr>
          <w:rFonts w:ascii="Garamond" w:eastAsia="Garamond" w:hAnsi="Garamond" w:cs="Garamond"/>
        </w:rPr>
        <w:t>Henrich</w:t>
      </w:r>
      <w:proofErr w:type="spellEnd"/>
      <w:r w:rsidRPr="00111C88">
        <w:rPr>
          <w:rFonts w:ascii="Garamond" w:eastAsia="Garamond" w:hAnsi="Garamond" w:cs="Garamond"/>
        </w:rPr>
        <w:t xml:space="preserve"> </w:t>
      </w:r>
      <w:proofErr w:type="spellStart"/>
      <w:r w:rsidRPr="00111C88">
        <w:rPr>
          <w:rFonts w:ascii="Garamond" w:eastAsia="Garamond" w:hAnsi="Garamond" w:cs="Garamond"/>
        </w:rPr>
        <w:t>Strobel</w:t>
      </w:r>
      <w:proofErr w:type="spellEnd"/>
      <w:r w:rsidRPr="00111C88">
        <w:rPr>
          <w:rFonts w:ascii="Garamond" w:eastAsia="Garamond" w:hAnsi="Garamond" w:cs="Garamond"/>
        </w:rPr>
        <w:t xml:space="preserve">. A questi materiali si aggiungono, infine, diversi </w:t>
      </w:r>
      <w:r w:rsidRPr="00111C88">
        <w:rPr>
          <w:rFonts w:ascii="Garamond" w:eastAsia="Garamond" w:hAnsi="Garamond" w:cs="Garamond"/>
          <w:b/>
        </w:rPr>
        <w:t>testi manoscritti di Castiglioni</w:t>
      </w:r>
      <w:r w:rsidRPr="00111C88">
        <w:rPr>
          <w:rFonts w:ascii="Garamond" w:eastAsia="Garamond" w:hAnsi="Garamond" w:cs="Garamond"/>
        </w:rPr>
        <w:t xml:space="preserve"> e note di presentazione delle sue opere, un’importante raccolta di programmi di concerti e ritagli di stampa relativi alla sua attività come pianista e compositore, contratti e rendiconti editoriali. </w:t>
      </w:r>
    </w:p>
    <w:p w:rsidR="00111C88" w:rsidRPr="00111C88" w:rsidRDefault="00111C88" w:rsidP="00111C88">
      <w:pPr>
        <w:ind w:left="-567"/>
        <w:jc w:val="both"/>
        <w:rPr>
          <w:rFonts w:ascii="Garamond" w:eastAsia="Garamond" w:hAnsi="Garamond" w:cs="Garamond"/>
        </w:rPr>
      </w:pPr>
    </w:p>
    <w:p w:rsidR="00111C88" w:rsidRPr="00111C88" w:rsidRDefault="00111C88" w:rsidP="00111C88">
      <w:pPr>
        <w:ind w:left="-567"/>
        <w:jc w:val="both"/>
        <w:rPr>
          <w:rFonts w:ascii="Garamond" w:eastAsia="Garamond" w:hAnsi="Garamond" w:cs="Garamond"/>
          <w:sz w:val="20"/>
        </w:rPr>
      </w:pPr>
      <w:r w:rsidRPr="00111C88">
        <w:rPr>
          <w:rFonts w:ascii="Garamond" w:eastAsia="Garamond" w:hAnsi="Garamond" w:cs="Garamond"/>
          <w:b/>
          <w:sz w:val="20"/>
        </w:rPr>
        <w:t>Niccolò Castiglioni</w:t>
      </w:r>
      <w:r w:rsidRPr="00111C88">
        <w:rPr>
          <w:rFonts w:ascii="Garamond" w:eastAsia="Garamond" w:hAnsi="Garamond" w:cs="Garamond"/>
          <w:sz w:val="20"/>
        </w:rPr>
        <w:t xml:space="preserve"> nasce a Milano il 17 luglio 1932. Parallelamente agli studi di pianoforte con Lidia Zambelli </w:t>
      </w:r>
      <w:proofErr w:type="spellStart"/>
      <w:r w:rsidRPr="00111C88">
        <w:rPr>
          <w:rFonts w:ascii="Garamond" w:eastAsia="Garamond" w:hAnsi="Garamond" w:cs="Garamond"/>
          <w:sz w:val="20"/>
        </w:rPr>
        <w:t>Kirpitscheff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, compie studi di composizione nel Conservatorio “Giuseppe Verdi” di Milano sotto la guida di Giorgio Federico </w:t>
      </w:r>
      <w:proofErr w:type="spellStart"/>
      <w:r w:rsidRPr="00111C88">
        <w:rPr>
          <w:rFonts w:ascii="Garamond" w:eastAsia="Garamond" w:hAnsi="Garamond" w:cs="Garamond"/>
          <w:sz w:val="20"/>
        </w:rPr>
        <w:t>Ghedini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e Franco </w:t>
      </w:r>
      <w:proofErr w:type="spellStart"/>
      <w:r w:rsidRPr="00111C88">
        <w:rPr>
          <w:rFonts w:ascii="Garamond" w:eastAsia="Garamond" w:hAnsi="Garamond" w:cs="Garamond"/>
          <w:sz w:val="20"/>
        </w:rPr>
        <w:t>Margola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. Una “imperterrita fede </w:t>
      </w:r>
      <w:proofErr w:type="spellStart"/>
      <w:r w:rsidRPr="00111C88">
        <w:rPr>
          <w:rFonts w:ascii="Garamond" w:eastAsia="Garamond" w:hAnsi="Garamond" w:cs="Garamond"/>
          <w:sz w:val="20"/>
        </w:rPr>
        <w:t>strawinskyana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” – secondo le sue parole – caratterizza i primi lavori degli anni Cinquanta, di stampo prevalentemente neoclassico, cui segue uno spostamento di interesse verso la dodecafonia e il serialismo post-weberniano, spesso venato di reminiscenze tardoromantiche o espressionistiche. Nel 1958 partecipa ai </w:t>
      </w:r>
      <w:proofErr w:type="spellStart"/>
      <w:r w:rsidRPr="00111C88">
        <w:rPr>
          <w:rFonts w:ascii="Garamond" w:eastAsia="Garamond" w:hAnsi="Garamond" w:cs="Garamond"/>
          <w:sz w:val="20"/>
        </w:rPr>
        <w:t>Ferienkurse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111C88">
        <w:rPr>
          <w:rFonts w:ascii="Garamond" w:eastAsia="Garamond" w:hAnsi="Garamond" w:cs="Garamond"/>
          <w:sz w:val="20"/>
        </w:rPr>
        <w:t>für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111C88">
        <w:rPr>
          <w:rFonts w:ascii="Garamond" w:eastAsia="Garamond" w:hAnsi="Garamond" w:cs="Garamond"/>
          <w:sz w:val="20"/>
        </w:rPr>
        <w:t>Neue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111C88">
        <w:rPr>
          <w:rFonts w:ascii="Garamond" w:eastAsia="Garamond" w:hAnsi="Garamond" w:cs="Garamond"/>
          <w:sz w:val="20"/>
        </w:rPr>
        <w:t>Musik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di Darmstadt, dove tornerà negli anni successivi. La ricerca di una tecnica compositiva rigorosa, che si manifesta nelle opere di questo primo periodo, lascia il passo a una concezione sempre più libera e personale del linguaggio musicale, aperta al recupero della tonalità e al gioco delle citazioni. Autore di un importante numero </w:t>
      </w:r>
      <w:r w:rsidRPr="00111C88">
        <w:rPr>
          <w:rFonts w:ascii="Garamond" w:eastAsia="Garamond" w:hAnsi="Garamond" w:cs="Garamond"/>
          <w:sz w:val="20"/>
        </w:rPr>
        <w:lastRenderedPageBreak/>
        <w:t xml:space="preserve">di musiche teatrali, sinfoniche e da camera, Castiglioni è rimasto sempre fedele a un ideale di limpidità e pulizia di scrittura, ricca di idee timbriche e animata da un profondo sentimento della natura. Tra le sue opere più rappresentative si contano gli </w:t>
      </w:r>
      <w:proofErr w:type="spellStart"/>
      <w:r w:rsidRPr="00111C88">
        <w:rPr>
          <w:rFonts w:ascii="Garamond" w:eastAsia="Garamond" w:hAnsi="Garamond" w:cs="Garamond"/>
          <w:i/>
          <w:sz w:val="20"/>
        </w:rPr>
        <w:t>Impromptus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1-4 per orchestra da camera (1957-58); Cangianti per pianoforte (1959), Tropi per ensemble (1959); Inverno In-ver per piccola orchestra (1973, rivisto nel 1978), Le favole di Esopo per coro e orchestra (1979), </w:t>
      </w:r>
      <w:proofErr w:type="spellStart"/>
      <w:r w:rsidRPr="00111C88">
        <w:rPr>
          <w:rFonts w:ascii="Garamond" w:eastAsia="Garamond" w:hAnsi="Garamond" w:cs="Garamond"/>
          <w:i/>
          <w:sz w:val="20"/>
        </w:rPr>
        <w:t>Morçeaux</w:t>
      </w:r>
      <w:proofErr w:type="spellEnd"/>
      <w:r w:rsidRPr="00111C88">
        <w:rPr>
          <w:rFonts w:ascii="Garamond" w:eastAsia="Garamond" w:hAnsi="Garamond" w:cs="Garamond"/>
          <w:i/>
          <w:sz w:val="20"/>
        </w:rPr>
        <w:t xml:space="preserve"> </w:t>
      </w:r>
      <w:proofErr w:type="spellStart"/>
      <w:r w:rsidRPr="00111C88">
        <w:rPr>
          <w:rFonts w:ascii="Garamond" w:eastAsia="Garamond" w:hAnsi="Garamond" w:cs="Garamond"/>
          <w:i/>
          <w:sz w:val="20"/>
        </w:rPr>
        <w:t>Lyriques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per oboe e orchestra (1982); </w:t>
      </w:r>
      <w:proofErr w:type="spellStart"/>
      <w:r w:rsidRPr="00111C88">
        <w:rPr>
          <w:rFonts w:ascii="Garamond" w:eastAsia="Garamond" w:hAnsi="Garamond" w:cs="Garamond"/>
          <w:i/>
          <w:sz w:val="20"/>
        </w:rPr>
        <w:t>Cantus</w:t>
      </w:r>
      <w:proofErr w:type="spellEnd"/>
      <w:r w:rsidRPr="00111C88">
        <w:rPr>
          <w:rFonts w:ascii="Garamond" w:eastAsia="Garamond" w:hAnsi="Garamond" w:cs="Garamond"/>
          <w:i/>
          <w:sz w:val="20"/>
        </w:rPr>
        <w:t xml:space="preserve"> </w:t>
      </w:r>
      <w:proofErr w:type="spellStart"/>
      <w:r w:rsidRPr="00111C88">
        <w:rPr>
          <w:rFonts w:ascii="Garamond" w:eastAsia="Garamond" w:hAnsi="Garamond" w:cs="Garamond"/>
          <w:i/>
          <w:sz w:val="20"/>
        </w:rPr>
        <w:t>planus</w:t>
      </w:r>
      <w:proofErr w:type="spellEnd"/>
      <w:r w:rsidRPr="00111C88">
        <w:rPr>
          <w:rFonts w:ascii="Garamond" w:eastAsia="Garamond" w:hAnsi="Garamond" w:cs="Garamond"/>
          <w:sz w:val="20"/>
        </w:rPr>
        <w:t xml:space="preserve"> per 2 soprani e 7 strumenti (1990-91). Abbandonata la carriera pianistica, dagli anni Sessanta Castiglioni si dedica interamente alla composizione e la didattica. Tra il 1966 e il 1970 insegna in diverse Università negli Stati Uniti, per poi fare ritorno in Italia, dove insegna presso i conservatori di Trento, Como e Milano. Si spegne prematuramente a Milano il 7 settembre 1996, all’età di 64 anni. </w:t>
      </w:r>
    </w:p>
    <w:p w:rsidR="00111C88" w:rsidRPr="00111C88" w:rsidRDefault="00111C88" w:rsidP="00111C88">
      <w:pPr>
        <w:ind w:left="-567"/>
        <w:jc w:val="both"/>
        <w:rPr>
          <w:rFonts w:ascii="Garamond" w:eastAsia="Garamond" w:hAnsi="Garamond" w:cs="Garamond"/>
        </w:rPr>
      </w:pPr>
    </w:p>
    <w:p w:rsidR="008F5570" w:rsidRPr="00111C88" w:rsidRDefault="00111C88" w:rsidP="00111C88">
      <w:pPr>
        <w:ind w:left="-567"/>
        <w:jc w:val="both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>L’</w:t>
      </w:r>
      <w:r w:rsidRPr="00111C88">
        <w:rPr>
          <w:rFonts w:ascii="Garamond" w:eastAsia="Garamond" w:hAnsi="Garamond" w:cs="Garamond"/>
          <w:b/>
          <w:sz w:val="20"/>
        </w:rPr>
        <w:t>Istituto per la Musica</w:t>
      </w:r>
      <w:r w:rsidRPr="00111C88">
        <w:rPr>
          <w:rFonts w:ascii="Garamond" w:eastAsia="Garamond" w:hAnsi="Garamond" w:cs="Garamond"/>
          <w:sz w:val="20"/>
        </w:rPr>
        <w:t xml:space="preserve"> promuove la ricerca scientifica e la diffusione del sapere su diversi ambiti della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 e audiovisivo (</w:t>
      </w:r>
      <w:r w:rsidRPr="00111C88">
        <w:rPr>
          <w:rFonts w:ascii="Garamond" w:eastAsia="Garamond" w:hAnsi="Garamond" w:cs="Garamond"/>
          <w:b/>
          <w:sz w:val="20"/>
        </w:rPr>
        <w:t>Gian Francesco Malipiero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Alfredo Casella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Nino Rota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Camillo Togni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Ottorino </w:t>
      </w:r>
      <w:proofErr w:type="spellStart"/>
      <w:r w:rsidRPr="00111C88">
        <w:rPr>
          <w:rFonts w:ascii="Garamond" w:eastAsia="Garamond" w:hAnsi="Garamond" w:cs="Garamond"/>
          <w:b/>
          <w:sz w:val="20"/>
        </w:rPr>
        <w:t>Respighi</w:t>
      </w:r>
      <w:proofErr w:type="spellEnd"/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Alberto Bruni Tedeschi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</w:t>
      </w:r>
      <w:proofErr w:type="spellStart"/>
      <w:r w:rsidRPr="00111C88">
        <w:rPr>
          <w:rFonts w:ascii="Garamond" w:eastAsia="Garamond" w:hAnsi="Garamond" w:cs="Garamond"/>
          <w:b/>
          <w:sz w:val="20"/>
        </w:rPr>
        <w:t>Aurél</w:t>
      </w:r>
      <w:proofErr w:type="spellEnd"/>
      <w:r w:rsidRPr="00111C88">
        <w:rPr>
          <w:rFonts w:ascii="Garamond" w:eastAsia="Garamond" w:hAnsi="Garamond" w:cs="Garamond"/>
          <w:b/>
          <w:sz w:val="20"/>
        </w:rPr>
        <w:t xml:space="preserve"> </w:t>
      </w:r>
      <w:proofErr w:type="spellStart"/>
      <w:r w:rsidRPr="00111C88">
        <w:rPr>
          <w:rFonts w:ascii="Garamond" w:eastAsia="Garamond" w:hAnsi="Garamond" w:cs="Garamond"/>
          <w:b/>
          <w:sz w:val="20"/>
        </w:rPr>
        <w:t>Milloss</w:t>
      </w:r>
      <w:proofErr w:type="spellEnd"/>
      <w:r w:rsidRPr="00111C88">
        <w:rPr>
          <w:rFonts w:ascii="Garamond" w:eastAsia="Garamond" w:hAnsi="Garamond" w:cs="Garamond"/>
          <w:b/>
          <w:sz w:val="20"/>
        </w:rPr>
        <w:t xml:space="preserve">, Franco </w:t>
      </w:r>
      <w:proofErr w:type="spellStart"/>
      <w:r w:rsidRPr="00111C88">
        <w:rPr>
          <w:rFonts w:ascii="Garamond" w:eastAsia="Garamond" w:hAnsi="Garamond" w:cs="Garamond"/>
          <w:b/>
          <w:sz w:val="20"/>
        </w:rPr>
        <w:t>Oppo</w:t>
      </w:r>
      <w:proofErr w:type="spellEnd"/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Olga </w:t>
      </w:r>
      <w:proofErr w:type="spellStart"/>
      <w:r w:rsidRPr="00111C88">
        <w:rPr>
          <w:rFonts w:ascii="Garamond" w:eastAsia="Garamond" w:hAnsi="Garamond" w:cs="Garamond"/>
          <w:b/>
          <w:sz w:val="20"/>
        </w:rPr>
        <w:t>Rudge</w:t>
      </w:r>
      <w:proofErr w:type="spellEnd"/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Egida Sartori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Gino </w:t>
      </w:r>
      <w:proofErr w:type="spellStart"/>
      <w:r w:rsidRPr="00111C88">
        <w:rPr>
          <w:rFonts w:ascii="Garamond" w:eastAsia="Garamond" w:hAnsi="Garamond" w:cs="Garamond"/>
          <w:b/>
          <w:sz w:val="20"/>
        </w:rPr>
        <w:t>Gorini</w:t>
      </w:r>
      <w:proofErr w:type="spellEnd"/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Giacomo Manzoni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Roman Vlad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Fausto Romitelli</w:t>
      </w:r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Giovanni </w:t>
      </w:r>
      <w:proofErr w:type="spellStart"/>
      <w:r w:rsidRPr="00111C88">
        <w:rPr>
          <w:rFonts w:ascii="Garamond" w:eastAsia="Garamond" w:hAnsi="Garamond" w:cs="Garamond"/>
          <w:b/>
          <w:sz w:val="20"/>
        </w:rPr>
        <w:t>Salviucci</w:t>
      </w:r>
      <w:proofErr w:type="spellEnd"/>
      <w:r w:rsidRPr="00111C88">
        <w:rPr>
          <w:rFonts w:ascii="Garamond" w:eastAsia="Garamond" w:hAnsi="Garamond" w:cs="Garamond"/>
          <w:sz w:val="20"/>
        </w:rPr>
        <w:t>,</w:t>
      </w:r>
      <w:r w:rsidRPr="00111C88">
        <w:rPr>
          <w:rFonts w:ascii="Garamond" w:eastAsia="Garamond" w:hAnsi="Garamond" w:cs="Garamond"/>
          <w:b/>
          <w:sz w:val="20"/>
        </w:rPr>
        <w:t xml:space="preserve"> Egisto Macchi</w:t>
      </w:r>
      <w:r w:rsidRPr="00111C88">
        <w:rPr>
          <w:rFonts w:ascii="Garamond" w:eastAsia="Garamond" w:hAnsi="Garamond" w:cs="Garamond"/>
          <w:sz w:val="20"/>
        </w:rPr>
        <w:t>).</w:t>
      </w:r>
    </w:p>
    <w:p w:rsidR="009337B1" w:rsidRDefault="009337B1">
      <w:pPr>
        <w:ind w:left="-567"/>
        <w:jc w:val="both"/>
      </w:pPr>
    </w:p>
    <w:p w:rsidR="008F5570" w:rsidRDefault="007C3913">
      <w:pPr>
        <w:ind w:left="-567"/>
        <w:jc w:val="both"/>
      </w:pPr>
      <w:r>
        <w:rPr>
          <w:rFonts w:ascii="Garamond" w:eastAsia="Garamond" w:hAnsi="Garamond" w:cs="Garamond"/>
          <w:b/>
        </w:rPr>
        <w:t>Informazioni:</w:t>
      </w:r>
    </w:p>
    <w:p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>tel.: +39 041 2710220</w:t>
      </w:r>
    </w:p>
    <w:p w:rsidR="008F5570" w:rsidRPr="009337B1" w:rsidRDefault="007C3913">
      <w:pPr>
        <w:ind w:left="-567"/>
        <w:jc w:val="both"/>
        <w:rPr>
          <w:lang w:val="en-US"/>
        </w:rPr>
      </w:pPr>
      <w:proofErr w:type="gramStart"/>
      <w:r w:rsidRPr="009337B1">
        <w:rPr>
          <w:rFonts w:ascii="Garamond" w:eastAsia="Garamond" w:hAnsi="Garamond" w:cs="Garamond"/>
          <w:lang w:val="en-US"/>
        </w:rPr>
        <w:t>email</w:t>
      </w:r>
      <w:proofErr w:type="gramEnd"/>
      <w:r w:rsidRPr="009337B1">
        <w:rPr>
          <w:rFonts w:ascii="Garamond" w:eastAsia="Garamond" w:hAnsi="Garamond" w:cs="Garamond"/>
          <w:lang w:val="en-US"/>
        </w:rPr>
        <w:t>: musica@cini.it</w:t>
      </w:r>
    </w:p>
    <w:p w:rsidR="008F5570" w:rsidRPr="009337B1" w:rsidRDefault="00E92979">
      <w:pPr>
        <w:ind w:left="-567"/>
        <w:jc w:val="both"/>
        <w:rPr>
          <w:lang w:val="en-US"/>
        </w:rPr>
      </w:pPr>
      <w:hyperlink r:id="rId6">
        <w:r w:rsidR="007C3913" w:rsidRPr="009337B1">
          <w:rPr>
            <w:rFonts w:ascii="Garamond" w:eastAsia="Garamond" w:hAnsi="Garamond" w:cs="Garamond"/>
            <w:color w:val="0000FF"/>
            <w:u w:val="single"/>
            <w:lang w:val="en-US"/>
          </w:rPr>
          <w:t>www.cini.it</w:t>
        </w:r>
      </w:hyperlink>
      <w:hyperlink r:id="rId7"/>
    </w:p>
    <w:p w:rsidR="008F5570" w:rsidRPr="009337B1" w:rsidRDefault="00E92979">
      <w:pPr>
        <w:ind w:left="-567"/>
        <w:jc w:val="both"/>
        <w:rPr>
          <w:lang w:val="en-US"/>
        </w:rPr>
      </w:pPr>
      <w:hyperlink r:id="rId8"/>
    </w:p>
    <w:p w:rsidR="008F5570" w:rsidRPr="009337B1" w:rsidRDefault="00E92979">
      <w:pPr>
        <w:ind w:left="-567"/>
        <w:jc w:val="both"/>
        <w:rPr>
          <w:lang w:val="en-US"/>
        </w:rPr>
      </w:pPr>
      <w:hyperlink r:id="rId9"/>
    </w:p>
    <w:p w:rsidR="008F5570" w:rsidRDefault="007C3913">
      <w:pPr>
        <w:ind w:left="-567"/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:rsidR="008F5570" w:rsidRDefault="007C3913" w:rsidP="006838E9">
      <w:pPr>
        <w:ind w:left="-567"/>
      </w:pPr>
      <w:r>
        <w:rPr>
          <w:rFonts w:ascii="Garamond" w:eastAsia="Garamond" w:hAnsi="Garamond" w:cs="Garamond"/>
        </w:rPr>
        <w:t>Ufficio Stampa</w:t>
      </w:r>
    </w:p>
    <w:p w:rsidR="008F5570" w:rsidRPr="009337B1" w:rsidRDefault="007C3913" w:rsidP="006838E9">
      <w:pPr>
        <w:ind w:left="-567"/>
        <w:rPr>
          <w:lang w:val="en-US"/>
        </w:rPr>
      </w:pPr>
      <w:r w:rsidRPr="009337B1">
        <w:rPr>
          <w:rFonts w:ascii="Garamond" w:eastAsia="Garamond" w:hAnsi="Garamond" w:cs="Garamond"/>
          <w:lang w:val="en-US"/>
        </w:rPr>
        <w:t>tel. +39 041 2710280</w:t>
      </w:r>
      <w:r w:rsidRPr="009337B1">
        <w:rPr>
          <w:rFonts w:ascii="Garamond" w:eastAsia="Garamond" w:hAnsi="Garamond" w:cs="Garamond"/>
          <w:lang w:val="en-US"/>
        </w:rPr>
        <w:br/>
        <w:t>fax +39 041 5238540</w:t>
      </w:r>
      <w:r w:rsidRPr="009337B1">
        <w:rPr>
          <w:rFonts w:ascii="Garamond" w:eastAsia="Garamond" w:hAnsi="Garamond" w:cs="Garamond"/>
          <w:lang w:val="en-US"/>
        </w:rPr>
        <w:br/>
        <w:t xml:space="preserve">email: </w:t>
      </w:r>
      <w:hyperlink r:id="rId10">
        <w:r w:rsidRPr="009337B1">
          <w:rPr>
            <w:rFonts w:ascii="Garamond" w:eastAsia="Garamond" w:hAnsi="Garamond" w:cs="Garamond"/>
            <w:u w:val="single"/>
            <w:lang w:val="en-US"/>
          </w:rPr>
          <w:t>stampa@cini.it</w:t>
        </w:r>
      </w:hyperlink>
      <w:r w:rsidRPr="009337B1">
        <w:rPr>
          <w:rFonts w:ascii="Garamond" w:eastAsia="Garamond" w:hAnsi="Garamond" w:cs="Garamond"/>
          <w:lang w:val="en-US"/>
        </w:rPr>
        <w:br/>
      </w:r>
      <w:hyperlink r:id="rId11">
        <w:r w:rsidRPr="009337B1">
          <w:rPr>
            <w:rFonts w:ascii="Garamond" w:eastAsia="Garamond" w:hAnsi="Garamond" w:cs="Garamond"/>
            <w:u w:val="single"/>
            <w:lang w:val="en-US"/>
          </w:rPr>
          <w:t>www.cini.it/press-release</w:t>
        </w:r>
      </w:hyperlink>
      <w:hyperlink r:id="rId12"/>
    </w:p>
    <w:p w:rsidR="008F5570" w:rsidRPr="00E8641D" w:rsidRDefault="00E92979">
      <w:pPr>
        <w:jc w:val="both"/>
        <w:rPr>
          <w:lang w:val="en-US"/>
        </w:rPr>
      </w:pPr>
      <w:hyperlink r:id="rId13"/>
    </w:p>
    <w:sectPr w:rsidR="008F5570" w:rsidRPr="00E8641D">
      <w:headerReference w:type="default" r:id="rId14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79" w:rsidRDefault="00E92979">
      <w:r>
        <w:separator/>
      </w:r>
    </w:p>
  </w:endnote>
  <w:endnote w:type="continuationSeparator" w:id="0">
    <w:p w:rsidR="00E92979" w:rsidRDefault="00E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79" w:rsidRDefault="00E92979">
      <w:r>
        <w:separator/>
      </w:r>
    </w:p>
  </w:footnote>
  <w:footnote w:type="continuationSeparator" w:id="0">
    <w:p w:rsidR="00E92979" w:rsidRDefault="00E9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70" w:rsidRDefault="009337B1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:rsidR="008F5570" w:rsidRDefault="008F55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0"/>
    <w:rsid w:val="00090A08"/>
    <w:rsid w:val="00102ACA"/>
    <w:rsid w:val="00111C88"/>
    <w:rsid w:val="0038735F"/>
    <w:rsid w:val="003F069F"/>
    <w:rsid w:val="004706B7"/>
    <w:rsid w:val="004843B8"/>
    <w:rsid w:val="004B5D4E"/>
    <w:rsid w:val="00583903"/>
    <w:rsid w:val="005D40D2"/>
    <w:rsid w:val="006838E9"/>
    <w:rsid w:val="0069574C"/>
    <w:rsid w:val="007C3913"/>
    <w:rsid w:val="00822B54"/>
    <w:rsid w:val="0082599C"/>
    <w:rsid w:val="008F5570"/>
    <w:rsid w:val="009337B1"/>
    <w:rsid w:val="009C782F"/>
    <w:rsid w:val="00AF027D"/>
    <w:rsid w:val="00DA7A41"/>
    <w:rsid w:val="00E8641D"/>
    <w:rsid w:val="00E92979"/>
    <w:rsid w:val="00F73FE6"/>
    <w:rsid w:val="00F83DDE"/>
    <w:rsid w:val="00F92C54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CD476-1F5A-4237-BA61-CC55941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yperlink" Target="http://cini.us5.list-manage.com/track/click?u=26afedd18cdc9b9821e245797&amp;id=5db5dd1a6e&amp;e=7fda399d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ini.it" TargetMode="External"/><Relationship Id="rId11" Type="http://schemas.openxmlformats.org/officeDocument/2006/relationships/hyperlink" Target="http://cini.us5.list-manage.com/track/click?u=26afedd18cdc9b9821e245797&amp;id=5db5dd1a6e&amp;e=7fda399d2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tampa@cin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16</cp:revision>
  <dcterms:created xsi:type="dcterms:W3CDTF">2016-11-29T11:13:00Z</dcterms:created>
  <dcterms:modified xsi:type="dcterms:W3CDTF">2017-09-22T13:01:00Z</dcterms:modified>
</cp:coreProperties>
</file>