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66F9" w:rsidRDefault="00AB75AB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38100</wp:posOffset>
            </wp:positionV>
            <wp:extent cx="2058035" cy="427355"/>
            <wp:effectExtent l="0" t="0" r="0" b="0"/>
            <wp:wrapSquare wrapText="largest"/>
            <wp:docPr id="7" name="Im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427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54" w:rsidRPr="00F36B54" w:rsidRDefault="00F36B54" w:rsidP="00F36B54">
      <w:pPr>
        <w:widowControl/>
        <w:suppressAutoHyphens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:rsidR="00F36B54" w:rsidRPr="00F36B54" w:rsidRDefault="00F36B54" w:rsidP="00F36B54">
      <w:pPr>
        <w:widowControl/>
        <w:suppressAutoHyphens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:rsidR="00F36B54" w:rsidRPr="00F36B54" w:rsidRDefault="00F36B54" w:rsidP="00F36B54">
      <w:pPr>
        <w:widowControl/>
        <w:suppressAutoHyphens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:rsidR="00F9726F" w:rsidRDefault="00F9726F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</w:p>
    <w:p w:rsidR="00F36B54" w:rsidRPr="00F36B54" w:rsidRDefault="00F36B54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color w:val="262626"/>
          <w:kern w:val="0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 xml:space="preserve">L’Archivio Emilio Isgrò, fondato nel 2011, </w:t>
      </w:r>
      <w:r w:rsidRPr="00F36B54">
        <w:rPr>
          <w:rFonts w:ascii="Garamond" w:eastAsia="Times New Roman" w:hAnsi="Garamond" w:cs="Arial"/>
          <w:color w:val="262626"/>
          <w:kern w:val="0"/>
          <w:lang w:eastAsia="it-IT"/>
        </w:rPr>
        <w:t xml:space="preserve">si occupa 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della promozione e della valorizzazione delle opere artistiche, letterarie, teatrali e critiche dell’artista, </w:t>
      </w:r>
      <w:r w:rsidRPr="00F36B54">
        <w:rPr>
          <w:rFonts w:ascii="Garamond" w:eastAsia="Times New Roman" w:hAnsi="Garamond" w:cs="Arial"/>
          <w:color w:val="262626"/>
          <w:kern w:val="0"/>
          <w:lang w:eastAsia="it-IT"/>
        </w:rPr>
        <w:t>oltre che della catalogazione della sua intera produzione visiva.</w:t>
      </w:r>
    </w:p>
    <w:p w:rsidR="00F36B54" w:rsidRPr="00F36B54" w:rsidRDefault="00F36B54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color w:val="262626"/>
          <w:kern w:val="0"/>
          <w:lang w:eastAsia="it-IT"/>
        </w:rPr>
      </w:pPr>
      <w:r w:rsidRPr="00F36B54">
        <w:rPr>
          <w:rFonts w:ascii="Garamond" w:eastAsia="Times New Roman" w:hAnsi="Garamond" w:cs="Arial"/>
          <w:color w:val="262626"/>
          <w:kern w:val="0"/>
          <w:lang w:eastAsia="it-IT"/>
        </w:rPr>
        <w:t>Grazie al lavoro di raccolta di documenti sulla vita e sulle opere di Emilio Isgrò, l’Archivio si offre come luogo di studio e di approfondimento per ricerche scientifiche e tesi di laurea che</w:t>
      </w:r>
      <w:r w:rsidR="003107DE">
        <w:rPr>
          <w:rFonts w:ascii="Garamond" w:eastAsia="Times New Roman" w:hAnsi="Garamond" w:cs="Arial"/>
          <w:color w:val="262626"/>
          <w:kern w:val="0"/>
          <w:lang w:eastAsia="it-IT"/>
        </w:rPr>
        <w:t xml:space="preserve"> indagano</w:t>
      </w:r>
      <w:r w:rsidRPr="00F36B54">
        <w:rPr>
          <w:rFonts w:ascii="Garamond" w:eastAsia="Times New Roman" w:hAnsi="Garamond" w:cs="Arial"/>
          <w:color w:val="262626"/>
          <w:kern w:val="0"/>
          <w:lang w:eastAsia="it-IT"/>
        </w:rPr>
        <w:t xml:space="preserve"> la ricerca poetica dell’artista e i movimenti della neo avanguardia italiana che ha attraversato con originalità.</w:t>
      </w:r>
    </w:p>
    <w:p w:rsidR="00F36B54" w:rsidRPr="00F36B54" w:rsidRDefault="00F36B54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color w:val="262626"/>
          <w:kern w:val="0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 xml:space="preserve">Parallelamente, l’Archivio si occupa anche di procedere </w:t>
      </w:r>
      <w:r w:rsidR="004D11D1">
        <w:rPr>
          <w:rFonts w:ascii="Garamond" w:eastAsia="Times New Roman" w:hAnsi="Garamond" w:cs="Arial"/>
          <w:kern w:val="28"/>
          <w:lang w:eastAsia="it-IT"/>
        </w:rPr>
        <w:t>con l</w:t>
      </w:r>
      <w:r w:rsidRPr="00F36B54">
        <w:rPr>
          <w:rFonts w:ascii="Garamond" w:eastAsia="Times New Roman" w:hAnsi="Garamond" w:cs="Arial"/>
          <w:kern w:val="28"/>
          <w:lang w:eastAsia="it-IT"/>
        </w:rPr>
        <w:t>’archiviazione delle opere dei collezionisti in vista della pubblicazione del catalogo ragionato.</w:t>
      </w:r>
    </w:p>
    <w:p w:rsidR="00F36B54" w:rsidRPr="00F36B54" w:rsidRDefault="00F36B54" w:rsidP="00625065">
      <w:pPr>
        <w:widowControl/>
        <w:suppressAutoHyphens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 xml:space="preserve">Nel corso degli anni ha sviluppato numerose collaborazioni con istituzioni pubbliche e private tra cui la grande mostra antologica a Milano presso le diverse sedi di Palazzo Reale, Gallerie d’Italia e Casa Manzoni nel 2016.  </w:t>
      </w:r>
    </w:p>
    <w:p w:rsidR="00F36B54" w:rsidRPr="00F36B54" w:rsidRDefault="00F36B54" w:rsidP="00625065">
      <w:pPr>
        <w:suppressAutoHyphens w:val="0"/>
        <w:overflowPunct w:val="0"/>
        <w:autoSpaceDE w:val="0"/>
        <w:autoSpaceDN w:val="0"/>
        <w:adjustRightInd w:val="0"/>
        <w:ind w:left="426" w:right="848"/>
        <w:jc w:val="both"/>
        <w:rPr>
          <w:rFonts w:ascii="Garamond" w:eastAsia="Times New Roman" w:hAnsi="Garamond" w:cs="Arial"/>
          <w:color w:val="000000"/>
          <w:kern w:val="28"/>
          <w:lang w:eastAsia="it-IT"/>
        </w:rPr>
      </w:pPr>
      <w:r w:rsidRPr="00F36B54">
        <w:rPr>
          <w:rFonts w:ascii="Garamond" w:eastAsia="Times New Roman" w:hAnsi="Garamond" w:cs="Arial"/>
          <w:color w:val="000000"/>
          <w:kern w:val="28"/>
          <w:lang w:eastAsia="it-IT"/>
        </w:rPr>
        <w:t xml:space="preserve">A fianco dell’Archivio, a marzo 2019, ha aperto l’Istituto Emilio e </w:t>
      </w:r>
      <w:bookmarkStart w:id="0" w:name="_GoBack"/>
      <w:bookmarkEnd w:id="0"/>
      <w:r w:rsidRPr="00F36B54">
        <w:rPr>
          <w:rFonts w:ascii="Garamond" w:eastAsia="Times New Roman" w:hAnsi="Garamond" w:cs="Arial"/>
          <w:color w:val="000000"/>
          <w:kern w:val="28"/>
          <w:lang w:eastAsia="it-IT"/>
        </w:rPr>
        <w:t>Scilla Isgrò che ha come obiettivi principali la divulgazione dell’opera artistica e intellettuale di Isgrò e la promozione della cancellatura come linguaggio artistico.</w:t>
      </w:r>
    </w:p>
    <w:p w:rsidR="00F36B54" w:rsidRPr="00F36B54" w:rsidRDefault="00F36B54" w:rsidP="00625065">
      <w:pPr>
        <w:suppressAutoHyphens w:val="0"/>
        <w:overflowPunct w:val="0"/>
        <w:autoSpaceDE w:val="0"/>
        <w:autoSpaceDN w:val="0"/>
        <w:adjustRightInd w:val="0"/>
        <w:ind w:left="426" w:right="848"/>
        <w:jc w:val="both"/>
        <w:rPr>
          <w:rFonts w:ascii="Garamond" w:eastAsia="Times New Roman" w:hAnsi="Garamond" w:cs="Arial"/>
          <w:kern w:val="28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 xml:space="preserve">Lo spazio dell’Istituto è composto dalle </w:t>
      </w:r>
      <w:r w:rsidRPr="00F36B54">
        <w:rPr>
          <w:rFonts w:ascii="Garamond" w:eastAsia="Times New Roman" w:hAnsi="Garamond" w:cs="Arial"/>
          <w:i/>
          <w:iCs/>
          <w:kern w:val="28"/>
          <w:lang w:eastAsia="it-IT"/>
        </w:rPr>
        <w:t>Stanze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, dove è presentata una selezione storica e ragionata dell’opera visiva di Isgrò, e dalla </w:t>
      </w:r>
      <w:r w:rsidRPr="00F36B54">
        <w:rPr>
          <w:rFonts w:ascii="Garamond" w:eastAsia="Times New Roman" w:hAnsi="Garamond" w:cs="Arial"/>
          <w:i/>
          <w:iCs/>
          <w:kern w:val="28"/>
          <w:lang w:eastAsia="it-IT"/>
        </w:rPr>
        <w:t>Sala</w:t>
      </w:r>
      <w:r w:rsidRPr="00F36B54">
        <w:rPr>
          <w:rFonts w:ascii="Garamond" w:eastAsia="Times New Roman" w:hAnsi="Garamond" w:cs="Arial"/>
          <w:kern w:val="28"/>
          <w:lang w:eastAsia="it-IT"/>
        </w:rPr>
        <w:t xml:space="preserve"> dedicata a eventi artistici e letterari (dalle presentazioni di libri alle letture di poesia) per rafforzare la consapevolezza che anche la letteratura e la poesia rappresentino uno dei momenti necessari per la comprensione dell’arte contemporanea tutta. L’Istituto è aperto al pubblico per visite guidate in gruppi su prenotazione.</w:t>
      </w:r>
    </w:p>
    <w:p w:rsidR="00F36B54" w:rsidRPr="00F36B54" w:rsidRDefault="00F36B54" w:rsidP="00625065">
      <w:pPr>
        <w:suppressAutoHyphens w:val="0"/>
        <w:overflowPunct w:val="0"/>
        <w:autoSpaceDE w:val="0"/>
        <w:autoSpaceDN w:val="0"/>
        <w:adjustRightInd w:val="0"/>
        <w:ind w:left="426" w:right="848"/>
        <w:jc w:val="both"/>
        <w:rPr>
          <w:rFonts w:ascii="Garamond" w:eastAsia="Times New Roman" w:hAnsi="Garamond" w:cs="Arial"/>
          <w:kern w:val="28"/>
          <w:sz w:val="28"/>
          <w:szCs w:val="28"/>
          <w:lang w:eastAsia="it-IT"/>
        </w:rPr>
      </w:pPr>
      <w:r w:rsidRPr="00F36B54">
        <w:rPr>
          <w:rFonts w:ascii="Garamond" w:eastAsia="Times New Roman" w:hAnsi="Garamond" w:cs="Arial"/>
          <w:kern w:val="28"/>
          <w:lang w:eastAsia="it-IT"/>
        </w:rPr>
        <w:t xml:space="preserve">L’Archivio Emilio Isgrò è a Milano in Via Martiri Oscuri 5 ed è diretto da Scilla Isgrò che si avvale della collaborazione di Giulia Crespi e Costanza </w:t>
      </w:r>
      <w:proofErr w:type="spellStart"/>
      <w:r w:rsidRPr="00F36B54">
        <w:rPr>
          <w:rFonts w:ascii="Garamond" w:eastAsia="Times New Roman" w:hAnsi="Garamond" w:cs="Arial"/>
          <w:kern w:val="28"/>
          <w:lang w:eastAsia="it-IT"/>
        </w:rPr>
        <w:t>Ballardini</w:t>
      </w:r>
      <w:proofErr w:type="spellEnd"/>
      <w:r w:rsidRPr="00F36B54">
        <w:rPr>
          <w:rFonts w:ascii="Garamond" w:eastAsia="Times New Roman" w:hAnsi="Garamond" w:cs="Arial"/>
          <w:kern w:val="28"/>
          <w:lang w:eastAsia="it-IT"/>
        </w:rPr>
        <w:t xml:space="preserve"> e della consulenza scientifica di Marco Bazzini e di Matteo Reale per quella letteraria</w:t>
      </w:r>
      <w:r w:rsidRPr="00F36B54">
        <w:rPr>
          <w:rFonts w:ascii="Garamond" w:eastAsia="Times New Roman" w:hAnsi="Garamond" w:cs="Arial"/>
          <w:kern w:val="28"/>
          <w:sz w:val="28"/>
          <w:szCs w:val="28"/>
          <w:lang w:eastAsia="it-IT"/>
        </w:rPr>
        <w:t xml:space="preserve">.  </w:t>
      </w:r>
    </w:p>
    <w:p w:rsidR="00F36B54" w:rsidRPr="00F36B54" w:rsidRDefault="00F36B54" w:rsidP="00F36B54">
      <w:pPr>
        <w:suppressAutoHyphens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kern w:val="28"/>
          <w:sz w:val="28"/>
          <w:szCs w:val="28"/>
          <w:lang w:eastAsia="it-IT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766F9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</w:p>
    <w:p w:rsidR="006766F9" w:rsidRDefault="00625065">
      <w:pPr>
        <w:autoSpaceDE w:val="0"/>
        <w:spacing w:after="220" w:line="360" w:lineRule="atLeast"/>
        <w:ind w:right="600"/>
        <w:rPr>
          <w:rFonts w:ascii="Palatino" w:eastAsia="LucidaGrande" w:hAnsi="Palatino" w:cs="LucidaGrand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262678</wp:posOffset>
            </wp:positionH>
            <wp:positionV relativeFrom="paragraph">
              <wp:posOffset>153035</wp:posOffset>
            </wp:positionV>
            <wp:extent cx="1412240" cy="7702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6F9" w:rsidRDefault="006766F9" w:rsidP="00207CD6">
      <w:pPr>
        <w:autoSpaceDE w:val="0"/>
        <w:spacing w:after="220" w:line="360" w:lineRule="atLeast"/>
        <w:ind w:left="426" w:right="600"/>
      </w:pPr>
    </w:p>
    <w:sectPr w:rsidR="00676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AB" w:rsidRDefault="00AB75AB" w:rsidP="00AB75AB">
      <w:r>
        <w:separator/>
      </w:r>
    </w:p>
  </w:endnote>
  <w:endnote w:type="continuationSeparator" w:id="0">
    <w:p w:rsidR="00AB75AB" w:rsidRDefault="00AB75AB" w:rsidP="00AB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Grande"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AB" w:rsidRDefault="00AB7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AB" w:rsidRDefault="00AB75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AB" w:rsidRDefault="00AB7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AB" w:rsidRDefault="00AB75AB" w:rsidP="00AB75AB">
      <w:r>
        <w:separator/>
      </w:r>
    </w:p>
  </w:footnote>
  <w:footnote w:type="continuationSeparator" w:id="0">
    <w:p w:rsidR="00AB75AB" w:rsidRDefault="00AB75AB" w:rsidP="00AB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AB" w:rsidRDefault="00AB7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AB" w:rsidRDefault="00AB75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AB" w:rsidRDefault="00AB75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embedSystemFonts/>
  <w:proofState w:spelling="clean"/>
  <w:revisionView w:formatting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D9"/>
    <w:rsid w:val="000F763E"/>
    <w:rsid w:val="00207CD6"/>
    <w:rsid w:val="003107DE"/>
    <w:rsid w:val="00420C4F"/>
    <w:rsid w:val="004B0171"/>
    <w:rsid w:val="004D11D1"/>
    <w:rsid w:val="005B17BB"/>
    <w:rsid w:val="00625065"/>
    <w:rsid w:val="006766F9"/>
    <w:rsid w:val="00865523"/>
    <w:rsid w:val="00AB75AB"/>
    <w:rsid w:val="00B90E73"/>
    <w:rsid w:val="00BD7FA5"/>
    <w:rsid w:val="00C31C88"/>
    <w:rsid w:val="00C64494"/>
    <w:rsid w:val="00CF77F8"/>
    <w:rsid w:val="00E26A92"/>
    <w:rsid w:val="00F06B54"/>
    <w:rsid w:val="00F149CE"/>
    <w:rsid w:val="00F278EA"/>
    <w:rsid w:val="00F36B54"/>
    <w:rsid w:val="00F9726F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  <w14:docId w14:val="0A2122B0"/>
  <w14:defaultImageDpi w14:val="32767"/>
  <w15:chartTrackingRefBased/>
  <w15:docId w15:val="{B7120A24-87DA-6E42-9A6B-FF37F4F7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  <w:lsdException w:name="Smart Link Error" w:uiPriority="49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paragraph" w:customStyle="1" w:styleId="xmsonormal">
    <w:name w:val="x_msonormal"/>
    <w:basedOn w:val="Normal"/>
    <w:rsid w:val="00E26A92"/>
    <w:pPr>
      <w:widowControl/>
      <w:suppressAutoHyphens w:val="0"/>
      <w:spacing w:before="100" w:beforeAutospacing="1" w:after="100" w:afterAutospacing="1"/>
    </w:pPr>
    <w:rPr>
      <w:rFonts w:ascii="Calibri" w:eastAsia="Calibri" w:hAnsi="Calibri" w:cs="Calibri"/>
      <w:kern w:val="0"/>
      <w:sz w:val="22"/>
      <w:szCs w:val="22"/>
      <w:lang w:eastAsia="it-IT"/>
    </w:rPr>
  </w:style>
  <w:style w:type="paragraph" w:styleId="Header">
    <w:name w:val="header"/>
    <w:basedOn w:val="Normal"/>
    <w:link w:val="HeaderChar"/>
    <w:uiPriority w:val="99"/>
    <w:unhideWhenUsed/>
    <w:rsid w:val="00AB75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AB"/>
    <w:rPr>
      <w:rFonts w:eastAsia="Arial"/>
      <w:kern w:val="1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unhideWhenUsed/>
    <w:rsid w:val="00AB75A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AB"/>
    <w:rPr>
      <w:rFonts w:eastAsia="Arial"/>
      <w:kern w:val="1"/>
      <w:sz w:val="24"/>
      <w:szCs w:val="24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1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C88"/>
    <w:rPr>
      <w:rFonts w:eastAsia="Arial"/>
      <w:kern w:val="1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C31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Respi</dc:creator>
  <cp:keywords/>
  <cp:lastModifiedBy>Giulia Crespi</cp:lastModifiedBy>
  <cp:revision>2</cp:revision>
  <cp:lastPrinted>2019-07-15T13:42:00Z</cp:lastPrinted>
  <dcterms:created xsi:type="dcterms:W3CDTF">2019-09-11T08:14:00Z</dcterms:created>
  <dcterms:modified xsi:type="dcterms:W3CDTF">2019-09-11T08:14:00Z</dcterms:modified>
</cp:coreProperties>
</file>