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294B" w14:textId="77777777" w:rsidR="00BA3959" w:rsidRPr="00BA3959" w:rsidRDefault="00BA3959" w:rsidP="00BA3959">
      <w:pPr>
        <w:pStyle w:val="NormaleWeb"/>
        <w:shd w:val="clear" w:color="auto" w:fill="FFFFFF"/>
        <w:spacing w:before="0" w:beforeAutospacing="0" w:after="0" w:afterAutospacing="0"/>
        <w:rPr>
          <w:color w:val="000000"/>
          <w:sz w:val="32"/>
        </w:rPr>
      </w:pPr>
      <w:r w:rsidRPr="00BA3959">
        <w:rPr>
          <w:rFonts w:ascii="Garamond" w:hAnsi="Garamond"/>
          <w:b/>
          <w:bCs/>
          <w:color w:val="000000"/>
          <w:sz w:val="36"/>
          <w:szCs w:val="28"/>
        </w:rPr>
        <w:t>L’Archivio Franco Scaldati</w:t>
      </w:r>
    </w:p>
    <w:p w14:paraId="41430141" w14:textId="77777777" w:rsidR="00BA3959" w:rsidRDefault="00BA3959" w:rsidP="00BA3959">
      <w:pPr>
        <w:rPr>
          <w:color w:val="000000"/>
        </w:rPr>
      </w:pPr>
    </w:p>
    <w:p w14:paraId="429400BE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Recentemente acquisito dall’Istituto per il Teatro e il Melodramma, per volere dei figli Giuseppe e Gabriele e con la collaborazione della Compagnia Franco Scaldati, l’archivio di Franco Scaldati rappresenta uno specchio prezioso dell’attività del celebre drammaturgo siciliano, le cui opere restano, a oggi, per la maggior parte inedite.</w:t>
      </w:r>
    </w:p>
    <w:p w14:paraId="42ED429A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Organizzato in circa sessanta faldoni di materiale documentale, l’archivio include copioni, note e scritti autografi, rassegna stampa, corrispondenza, documenti vari e locandine.</w:t>
      </w:r>
    </w:p>
    <w:p w14:paraId="2320F606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La sezione più consistente custodisce documenti relativi alle opere per il teatro di cui Scaldati è stato autore; per ciascun titolo, l’archivio conserva diverse versioni di materiale edito e inedito, quadri sciolti, opere complete e collage creati a partire da testi preesistenti. Ciascun titolo è documentato nell’evoluzione drammaturgica che ha avuto nel corso dell’intera carriera di Scaldati, i cui testi sono frutto di un lungo e costante lavoro di revisione, riscrittura e assemblaggio, variazioni di minore entità o decisive rivoluzioni.</w:t>
      </w:r>
    </w:p>
    <w:p w14:paraId="428B031F" w14:textId="77777777" w:rsidR="00BA3959" w:rsidRDefault="00BA3959" w:rsidP="00BA3959">
      <w:pPr>
        <w:ind w:right="283"/>
        <w:rPr>
          <w:color w:val="000000"/>
        </w:rPr>
      </w:pPr>
    </w:p>
    <w:p w14:paraId="6A0385EA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Tra i titoli presenti, in forma di copioni completi, frammenti e versioni intermedie, redatti dal 1974 al 2012, si citano: </w:t>
      </w:r>
      <w:r>
        <w:rPr>
          <w:rFonts w:ascii="Garamond" w:hAnsi="Garamond"/>
          <w:i/>
          <w:iCs/>
          <w:color w:val="000000"/>
        </w:rPr>
        <w:t>Adelina, Adelina e Adelina cosa fanno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Amedea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Angeli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Un angioletto vestito di giallo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Assassina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La casa dei Gobbetti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Cani e gatti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Il cavaliere Sole</w:t>
      </w:r>
      <w:r>
        <w:rPr>
          <w:rFonts w:ascii="Garamond" w:hAnsi="Garamond"/>
          <w:color w:val="000000"/>
        </w:rPr>
        <w:t xml:space="preserve">; la raccolta </w:t>
      </w:r>
      <w:r>
        <w:rPr>
          <w:rFonts w:ascii="Garamond" w:hAnsi="Garamond"/>
          <w:i/>
          <w:iCs/>
          <w:color w:val="000000"/>
        </w:rPr>
        <w:t>Dieci piccole pallide storie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Edipo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Ettore e Ettore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Fiorina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Le fate</w:t>
      </w:r>
      <w:r>
        <w:rPr>
          <w:rFonts w:ascii="Garamond" w:hAnsi="Garamond"/>
          <w:color w:val="000000"/>
        </w:rPr>
        <w:t xml:space="preserve">; il corposo progetto </w:t>
      </w:r>
      <w:r>
        <w:rPr>
          <w:rFonts w:ascii="Garamond" w:hAnsi="Garamond"/>
          <w:i/>
          <w:iCs/>
          <w:color w:val="000000"/>
        </w:rPr>
        <w:t>Femmine dell’ombra</w:t>
      </w:r>
      <w:r>
        <w:rPr>
          <w:rFonts w:ascii="Garamond" w:hAnsi="Garamond"/>
          <w:color w:val="000000"/>
        </w:rPr>
        <w:t xml:space="preserve">, da cui poi derivano </w:t>
      </w:r>
      <w:r>
        <w:rPr>
          <w:rFonts w:ascii="Garamond" w:hAnsi="Garamond"/>
          <w:i/>
          <w:iCs/>
          <w:color w:val="000000"/>
        </w:rPr>
        <w:t>Si aprono gli occhi ed è l’aurora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La gatta rossa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Ofelia è una dolce pupa fra i cuscini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Ombre folli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 xml:space="preserve">Sabella. Storia di una </w:t>
      </w:r>
      <w:proofErr w:type="spellStart"/>
      <w:r>
        <w:rPr>
          <w:rFonts w:ascii="Garamond" w:hAnsi="Garamond"/>
          <w:i/>
          <w:iCs/>
          <w:color w:val="000000"/>
        </w:rPr>
        <w:t>buttana</w:t>
      </w:r>
      <w:proofErr w:type="spellEnd"/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Sul muro c’è l’ombra di una farfalla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La gatta di pezza</w:t>
      </w:r>
      <w:r>
        <w:rPr>
          <w:rFonts w:ascii="Garamond" w:hAnsi="Garamond"/>
          <w:color w:val="000000"/>
        </w:rPr>
        <w:t xml:space="preserve">; </w:t>
      </w:r>
      <w:proofErr w:type="spellStart"/>
      <w:r>
        <w:rPr>
          <w:rFonts w:ascii="Garamond" w:hAnsi="Garamond"/>
          <w:i/>
          <w:iCs/>
          <w:color w:val="000000"/>
        </w:rPr>
        <w:t>Giufà</w:t>
      </w:r>
      <w:proofErr w:type="spellEnd"/>
      <w:r>
        <w:rPr>
          <w:rFonts w:ascii="Garamond" w:hAnsi="Garamond"/>
          <w:i/>
          <w:iCs/>
          <w:color w:val="000000"/>
        </w:rPr>
        <w:t xml:space="preserve"> e la sua ombra</w:t>
      </w:r>
      <w:r>
        <w:rPr>
          <w:rFonts w:ascii="Garamond" w:hAnsi="Garamond"/>
          <w:color w:val="000000"/>
        </w:rPr>
        <w:t xml:space="preserve">; il trittico </w:t>
      </w:r>
      <w:r>
        <w:rPr>
          <w:rFonts w:ascii="Garamond" w:hAnsi="Garamond"/>
          <w:i/>
          <w:iCs/>
          <w:color w:val="000000"/>
        </w:rPr>
        <w:t>Grazia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Lucrezia</w:t>
      </w:r>
      <w:r>
        <w:rPr>
          <w:rFonts w:ascii="Garamond" w:hAnsi="Garamond"/>
          <w:color w:val="000000"/>
        </w:rPr>
        <w:t xml:space="preserve"> e </w:t>
      </w:r>
      <w:r>
        <w:rPr>
          <w:rFonts w:ascii="Garamond" w:hAnsi="Garamond"/>
          <w:i/>
          <w:iCs/>
          <w:color w:val="000000"/>
        </w:rPr>
        <w:t>Stella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Gregorio il Topo</w:t>
      </w:r>
      <w:r>
        <w:rPr>
          <w:rFonts w:ascii="Garamond" w:hAnsi="Garamond"/>
          <w:color w:val="000000"/>
        </w:rPr>
        <w:t xml:space="preserve">; </w:t>
      </w:r>
      <w:proofErr w:type="spellStart"/>
      <w:r>
        <w:rPr>
          <w:rFonts w:ascii="Garamond" w:hAnsi="Garamond"/>
          <w:i/>
          <w:iCs/>
          <w:color w:val="000000"/>
        </w:rPr>
        <w:t>Ilse</w:t>
      </w:r>
      <w:proofErr w:type="spellEnd"/>
      <w:r>
        <w:rPr>
          <w:rFonts w:ascii="Garamond" w:hAnsi="Garamond"/>
          <w:i/>
          <w:iCs/>
          <w:color w:val="000000"/>
        </w:rPr>
        <w:t xml:space="preserve"> uccisa dai giganti</w:t>
      </w:r>
      <w:r>
        <w:rPr>
          <w:rFonts w:ascii="Garamond" w:hAnsi="Garamond"/>
          <w:color w:val="000000"/>
        </w:rPr>
        <w:t xml:space="preserve">; la raccolta </w:t>
      </w:r>
      <w:r>
        <w:rPr>
          <w:rFonts w:ascii="Garamond" w:hAnsi="Garamond"/>
          <w:i/>
          <w:iCs/>
          <w:color w:val="000000"/>
        </w:rPr>
        <w:t>Inceneriti amori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La guardiana dell’acqua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 xml:space="preserve">La guerra di Pizzillo e </w:t>
      </w:r>
      <w:proofErr w:type="spellStart"/>
      <w:r>
        <w:rPr>
          <w:rFonts w:ascii="Garamond" w:hAnsi="Garamond"/>
          <w:i/>
          <w:iCs/>
          <w:color w:val="000000"/>
        </w:rPr>
        <w:t>Carollo</w:t>
      </w:r>
      <w:proofErr w:type="spellEnd"/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Indovina ventura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La locanda invisibile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Libro notturno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Luciana buffa gallina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Lucio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Lucrezia</w:t>
      </w:r>
      <w:r>
        <w:rPr>
          <w:rFonts w:ascii="Garamond" w:hAnsi="Garamond"/>
          <w:color w:val="000000"/>
        </w:rPr>
        <w:t xml:space="preserve">; </w:t>
      </w:r>
      <w:proofErr w:type="spellStart"/>
      <w:r>
        <w:rPr>
          <w:rFonts w:ascii="Garamond" w:hAnsi="Garamond"/>
          <w:i/>
          <w:iCs/>
          <w:color w:val="000000"/>
        </w:rPr>
        <w:t>Manu</w:t>
      </w:r>
      <w:proofErr w:type="spellEnd"/>
      <w:r>
        <w:rPr>
          <w:rFonts w:ascii="Garamond" w:hAnsi="Garamond"/>
          <w:i/>
          <w:iCs/>
          <w:color w:val="000000"/>
        </w:rPr>
        <w:t xml:space="preserve"> Mancusa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Natale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Natale a Palermo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La notte di Agostino il topo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Occhi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Oratorio per Don Giuseppe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Il pozzo dei pazzi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Pupa Regina Opere di fango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Rosolino 25 figli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Santa e Rosalia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 xml:space="preserve">Le sette morti del </w:t>
      </w:r>
      <w:proofErr w:type="spellStart"/>
      <w:r>
        <w:rPr>
          <w:rFonts w:ascii="Garamond" w:hAnsi="Garamond"/>
          <w:i/>
          <w:iCs/>
          <w:color w:val="000000"/>
        </w:rPr>
        <w:t>Tamerlano</w:t>
      </w:r>
      <w:proofErr w:type="spellEnd"/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Sonno e sogni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  <w:i/>
          <w:iCs/>
          <w:color w:val="000000"/>
        </w:rPr>
        <w:t xml:space="preserve"> Totò e </w:t>
      </w:r>
      <w:proofErr w:type="spellStart"/>
      <w:r>
        <w:rPr>
          <w:rFonts w:ascii="Garamond" w:hAnsi="Garamond"/>
          <w:i/>
          <w:iCs/>
          <w:color w:val="000000"/>
        </w:rPr>
        <w:t>Vicé</w:t>
      </w:r>
      <w:proofErr w:type="spellEnd"/>
      <w:r>
        <w:rPr>
          <w:rFonts w:ascii="Garamond" w:hAnsi="Garamond"/>
          <w:color w:val="000000"/>
        </w:rPr>
        <w:t>;</w:t>
      </w:r>
      <w:r>
        <w:rPr>
          <w:rFonts w:ascii="Garamond" w:hAnsi="Garamond"/>
          <w:i/>
          <w:iCs/>
          <w:color w:val="000000"/>
        </w:rPr>
        <w:t xml:space="preserve"> Vitina dal cuore d’oro</w:t>
      </w:r>
      <w:r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i/>
          <w:iCs/>
          <w:color w:val="000000"/>
        </w:rPr>
        <w:t>Vorrei avere un paio di ali dorate</w:t>
      </w:r>
      <w:r>
        <w:rPr>
          <w:rFonts w:ascii="Garamond" w:hAnsi="Garamond"/>
          <w:color w:val="000000"/>
        </w:rPr>
        <w:t>.</w:t>
      </w:r>
    </w:p>
    <w:p w14:paraId="2435510E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Di grande fascino è la sezione dei manoscritti autografi, il cui valore risiede anche nelle peculiarità della grafia dell’autore e nell’importanza della veste grafica. Si tratta di testi scritti tra la metà degli anni Settanta e gli anni Ottanta che includono, oltre alle versioni propedeutiche di </w:t>
      </w:r>
      <w:r>
        <w:rPr>
          <w:rFonts w:ascii="Garamond" w:hAnsi="Garamond"/>
          <w:i/>
          <w:iCs/>
          <w:color w:val="000000"/>
        </w:rPr>
        <w:t>Il pozzo dei pazzi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Il cavaliere Sole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/>
          <w:i/>
          <w:iCs/>
          <w:color w:val="000000"/>
        </w:rPr>
        <w:t>Manu</w:t>
      </w:r>
      <w:proofErr w:type="spellEnd"/>
      <w:r>
        <w:rPr>
          <w:rFonts w:ascii="Garamond" w:hAnsi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/>
          <w:i/>
          <w:iCs/>
          <w:color w:val="000000"/>
        </w:rPr>
        <w:t>mancusa</w:t>
      </w:r>
      <w:proofErr w:type="spellEnd"/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Facciamo l’amore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La guardiana dell’acqua</w:t>
      </w:r>
      <w:r>
        <w:rPr>
          <w:rFonts w:ascii="Garamond" w:hAnsi="Garamond"/>
          <w:color w:val="000000"/>
        </w:rPr>
        <w:t xml:space="preserve"> e </w:t>
      </w:r>
      <w:r>
        <w:rPr>
          <w:rFonts w:ascii="Garamond" w:hAnsi="Garamond"/>
          <w:i/>
          <w:iCs/>
          <w:color w:val="000000"/>
        </w:rPr>
        <w:t>Indovina ventura</w:t>
      </w:r>
      <w:r>
        <w:rPr>
          <w:rFonts w:ascii="Garamond" w:hAnsi="Garamond"/>
          <w:color w:val="000000"/>
        </w:rPr>
        <w:t xml:space="preserve">, anche titoli non più reperiti tra i dattiloscritti, come </w:t>
      </w:r>
      <w:proofErr w:type="spellStart"/>
      <w:r>
        <w:rPr>
          <w:rFonts w:ascii="Garamond" w:hAnsi="Garamond"/>
          <w:i/>
          <w:iCs/>
          <w:color w:val="000000"/>
        </w:rPr>
        <w:t>Cuniesci</w:t>
      </w:r>
      <w:proofErr w:type="spellEnd"/>
      <w:r>
        <w:rPr>
          <w:rFonts w:ascii="Garamond" w:hAnsi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/>
          <w:i/>
          <w:iCs/>
          <w:color w:val="000000"/>
        </w:rPr>
        <w:t>arriniesci</w:t>
      </w:r>
      <w:proofErr w:type="spellEnd"/>
      <w:r>
        <w:rPr>
          <w:rFonts w:ascii="Garamond" w:hAnsi="Garamond"/>
          <w:i/>
          <w:iCs/>
          <w:color w:val="000000"/>
        </w:rPr>
        <w:t>, Ferro filato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i/>
          <w:iCs/>
          <w:color w:val="000000"/>
        </w:rPr>
        <w:t>Chiari di luna</w:t>
      </w:r>
      <w:r>
        <w:rPr>
          <w:rFonts w:ascii="Garamond" w:hAnsi="Garamond"/>
          <w:color w:val="000000"/>
        </w:rPr>
        <w:t>. In questa sezione si trovano anche poesie e aforismi composti tra il 1960 e il 1965, considerati gli scritti più antichi presenti in archivio.</w:t>
      </w:r>
    </w:p>
    <w:p w14:paraId="2C7340E8" w14:textId="77777777" w:rsidR="00BA3959" w:rsidRDefault="00BA3959" w:rsidP="00BA3959">
      <w:pPr>
        <w:ind w:right="283"/>
        <w:rPr>
          <w:color w:val="000000"/>
        </w:rPr>
      </w:pPr>
    </w:p>
    <w:p w14:paraId="5C8DCE4F" w14:textId="41ACC371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Tra le traduzioni in palermitano di testi teatrali noti, spiccano l’</w:t>
      </w:r>
      <w:proofErr w:type="spellStart"/>
      <w:r>
        <w:rPr>
          <w:rFonts w:ascii="Garamond" w:hAnsi="Garamond"/>
          <w:i/>
          <w:iCs/>
          <w:color w:val="000000"/>
        </w:rPr>
        <w:t>Aulularia</w:t>
      </w:r>
      <w:proofErr w:type="spellEnd"/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da Plauto, </w:t>
      </w:r>
      <w:r>
        <w:rPr>
          <w:rFonts w:ascii="Garamond" w:hAnsi="Garamond"/>
          <w:i/>
          <w:iCs/>
          <w:color w:val="000000"/>
        </w:rPr>
        <w:t>La notte poco prima della foresta</w:t>
      </w:r>
      <w:r>
        <w:rPr>
          <w:rFonts w:ascii="Garamond" w:hAnsi="Garamond"/>
          <w:color w:val="000000"/>
        </w:rPr>
        <w:t>, da Koltès, la selezione</w:t>
      </w:r>
      <w:r>
        <w:rPr>
          <w:rFonts w:ascii="Garamond" w:hAnsi="Garamond"/>
          <w:i/>
          <w:iCs/>
          <w:color w:val="000000"/>
        </w:rPr>
        <w:t xml:space="preserve"> Pagine shakespeariane </w:t>
      </w:r>
      <w:r>
        <w:rPr>
          <w:rFonts w:ascii="Garamond" w:hAnsi="Garamond"/>
          <w:color w:val="000000"/>
        </w:rPr>
        <w:t xml:space="preserve">(che comprende scene tratte, tra gli altri, da </w:t>
      </w:r>
      <w:r>
        <w:rPr>
          <w:rFonts w:ascii="Garamond" w:hAnsi="Garamond"/>
          <w:i/>
          <w:iCs/>
          <w:color w:val="000000"/>
        </w:rPr>
        <w:t>Amleto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Romeo e Giulietta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Macbeth</w:t>
      </w:r>
      <w:r>
        <w:rPr>
          <w:rFonts w:ascii="Garamond" w:hAnsi="Garamond"/>
          <w:color w:val="000000"/>
        </w:rPr>
        <w:t xml:space="preserve">), </w:t>
      </w:r>
      <w:r>
        <w:rPr>
          <w:rFonts w:ascii="Garamond" w:hAnsi="Garamond"/>
          <w:i/>
          <w:iCs/>
          <w:color w:val="000000"/>
        </w:rPr>
        <w:t xml:space="preserve">La Tempesta </w:t>
      </w:r>
      <w:r>
        <w:rPr>
          <w:rFonts w:ascii="Garamond" w:hAnsi="Garamond"/>
          <w:color w:val="000000"/>
        </w:rPr>
        <w:t xml:space="preserve">da Shakespeare; </w:t>
      </w:r>
      <w:r>
        <w:rPr>
          <w:rFonts w:ascii="Garamond" w:hAnsi="Garamond"/>
          <w:i/>
          <w:iCs/>
          <w:color w:val="000000"/>
        </w:rPr>
        <w:t>Pinocchio</w:t>
      </w:r>
      <w:r>
        <w:rPr>
          <w:rFonts w:ascii="Garamond" w:hAnsi="Garamond"/>
          <w:color w:val="000000"/>
        </w:rPr>
        <w:t xml:space="preserve"> da Collodi</w:t>
      </w:r>
      <w:r w:rsidR="00366203">
        <w:rPr>
          <w:rFonts w:ascii="Garamond" w:hAnsi="Garamond"/>
          <w:color w:val="000000"/>
        </w:rPr>
        <w:t xml:space="preserve">; </w:t>
      </w:r>
      <w:r>
        <w:rPr>
          <w:rFonts w:ascii="Garamond" w:hAnsi="Garamond"/>
          <w:color w:val="000000"/>
        </w:rPr>
        <w:t>la</w:t>
      </w:r>
      <w:r>
        <w:rPr>
          <w:rFonts w:ascii="Garamond" w:hAnsi="Garamond"/>
          <w:i/>
          <w:iCs/>
          <w:color w:val="000000"/>
        </w:rPr>
        <w:t xml:space="preserve"> Trilogia della passione </w:t>
      </w:r>
      <w:r>
        <w:rPr>
          <w:rFonts w:ascii="Garamond" w:hAnsi="Garamond"/>
          <w:color w:val="000000"/>
        </w:rPr>
        <w:t xml:space="preserve">(con le novelle </w:t>
      </w:r>
      <w:r>
        <w:rPr>
          <w:rFonts w:ascii="Garamond" w:hAnsi="Garamond"/>
          <w:i/>
          <w:iCs/>
          <w:color w:val="000000"/>
        </w:rPr>
        <w:t>La lupa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Cavalleria rusticana</w:t>
      </w:r>
      <w:r>
        <w:rPr>
          <w:rFonts w:ascii="Garamond" w:hAnsi="Garamond"/>
          <w:color w:val="000000"/>
        </w:rPr>
        <w:t>,</w:t>
      </w:r>
      <w:r>
        <w:rPr>
          <w:rFonts w:ascii="Garamond" w:hAnsi="Garamond"/>
          <w:i/>
          <w:iCs/>
          <w:color w:val="000000"/>
        </w:rPr>
        <w:t xml:space="preserve"> Caccia al lupo</w:t>
      </w:r>
      <w:r>
        <w:rPr>
          <w:rFonts w:ascii="Garamond" w:hAnsi="Garamond"/>
          <w:color w:val="000000"/>
        </w:rPr>
        <w:t>)</w:t>
      </w:r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color w:val="000000"/>
        </w:rPr>
        <w:t>da Verga.</w:t>
      </w:r>
    </w:p>
    <w:p w14:paraId="47309839" w14:textId="77777777" w:rsidR="00BA3959" w:rsidRDefault="00BA3959" w:rsidP="00BA3959">
      <w:pPr>
        <w:ind w:right="283"/>
        <w:rPr>
          <w:color w:val="000000"/>
        </w:rPr>
      </w:pPr>
    </w:p>
    <w:p w14:paraId="2E4C8F49" w14:textId="20DF835F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bookmarkStart w:id="0" w:name="_GoBack"/>
      <w:r>
        <w:rPr>
          <w:rFonts w:ascii="Garamond" w:hAnsi="Garamond"/>
          <w:color w:val="000000"/>
        </w:rPr>
        <w:t>Completa</w:t>
      </w:r>
      <w:r w:rsidR="00366203">
        <w:rPr>
          <w:rFonts w:ascii="Garamond" w:hAnsi="Garamond"/>
          <w:color w:val="000000"/>
        </w:rPr>
        <w:t>no</w:t>
      </w:r>
      <w:r>
        <w:rPr>
          <w:rFonts w:ascii="Garamond" w:hAnsi="Garamond"/>
          <w:color w:val="000000"/>
        </w:rPr>
        <w:t xml:space="preserve"> </w:t>
      </w:r>
      <w:bookmarkEnd w:id="0"/>
      <w:r>
        <w:rPr>
          <w:rFonts w:ascii="Garamond" w:hAnsi="Garamond"/>
          <w:color w:val="000000"/>
        </w:rPr>
        <w:t xml:space="preserve">la donazione un nucleo di locandine e programmi di sala; una parziale ma interessante corrispondenza; una corposa rassegna stampa che riguarda spettacoli, letture sceniche, film, libri ed eventi di varia natura legati al teatro palermitano e internazionale e, più nello specifico, all’arte di Franco Scaldati (tra cui i numerosi premi vinti: Premio Maschera D’argento Salvatore Mazza / Teatro Festival Catania, 1976; Premio TTVV Riccione per il Teatro, 1987; i due Premi Speciali </w:t>
      </w:r>
      <w:proofErr w:type="spellStart"/>
      <w:r>
        <w:rPr>
          <w:rFonts w:ascii="Garamond" w:hAnsi="Garamond"/>
          <w:color w:val="000000"/>
        </w:rPr>
        <w:t>Ubu</w:t>
      </w:r>
      <w:proofErr w:type="spellEnd"/>
      <w:r>
        <w:rPr>
          <w:rFonts w:ascii="Garamond" w:hAnsi="Garamond"/>
          <w:color w:val="000000"/>
        </w:rPr>
        <w:t xml:space="preserve">, 1990 e 1997; Premio Siae, 2000; Premio Associazione Nazionale Critici di Teatro, 2000; Premio Ignazio </w:t>
      </w:r>
      <w:proofErr w:type="spellStart"/>
      <w:r>
        <w:rPr>
          <w:rFonts w:ascii="Garamond" w:hAnsi="Garamond"/>
          <w:color w:val="000000"/>
        </w:rPr>
        <w:t>Buttitta</w:t>
      </w:r>
      <w:proofErr w:type="spellEnd"/>
      <w:r>
        <w:rPr>
          <w:rFonts w:ascii="Garamond" w:hAnsi="Garamond"/>
          <w:color w:val="000000"/>
        </w:rPr>
        <w:t>, 2012).</w:t>
      </w:r>
    </w:p>
    <w:p w14:paraId="4A21AF6C" w14:textId="77777777" w:rsidR="00BA3959" w:rsidRDefault="00BA3959" w:rsidP="00BA3959">
      <w:pPr>
        <w:ind w:right="283"/>
        <w:rPr>
          <w:color w:val="000000"/>
        </w:rPr>
      </w:pPr>
    </w:p>
    <w:p w14:paraId="09539C27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L’Archivio Franco Scaldati si configura come un elemento molto importante per le attività di studio e ricerca che si svolgono all’interno dell’Istituto, ed è una risorsa fondamentale per analizzare l’opera di uno dei maggiori drammaturghi italiani del secondo Novecento. I testi di Scaldati, per la maggior parte inediti (a fronte di tredici opere pubblicate si contano trentasette inediti originali e dodici traduzioni di testi noti) trovano qui una possibilità di valorizzazione e divulgazione, ma anche un luogo di conservazione che permette di analizzare a fondo le innumerevoli stratificazioni proprie dell’opera del drammaturgo siciliano. </w:t>
      </w:r>
    </w:p>
    <w:p w14:paraId="679A3671" w14:textId="77777777" w:rsidR="00BA3959" w:rsidRDefault="00BA3959" w:rsidP="00BA3959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 xml:space="preserve">L’acquisizione di questo fondo si inserisce a pieno titolo nella recente tradizione di ricerca dell’Istituto, volta a ricostruire nel dettaglio e in tutti i suoi aspetti la realtà scenica italiana del secondo Novecento. Diversi sono gli uomini e le donne di teatro di cui l’Istituto conserva gli archivi e le biblioteche personali; tra questi, accanto ai siciliani Santuzza </w:t>
      </w:r>
      <w:proofErr w:type="spellStart"/>
      <w:r>
        <w:rPr>
          <w:rFonts w:ascii="Garamond" w:hAnsi="Garamond"/>
          <w:color w:val="000000"/>
        </w:rPr>
        <w:t>Calì</w:t>
      </w:r>
      <w:proofErr w:type="spellEnd"/>
      <w:r>
        <w:rPr>
          <w:rFonts w:ascii="Garamond" w:hAnsi="Garamond"/>
          <w:color w:val="000000"/>
        </w:rPr>
        <w:t xml:space="preserve"> e Michele </w:t>
      </w:r>
      <w:proofErr w:type="spellStart"/>
      <w:r>
        <w:rPr>
          <w:rFonts w:ascii="Garamond" w:hAnsi="Garamond"/>
          <w:color w:val="000000"/>
        </w:rPr>
        <w:t>Canzoneri</w:t>
      </w:r>
      <w:proofErr w:type="spellEnd"/>
      <w:r>
        <w:rPr>
          <w:rFonts w:ascii="Garamond" w:hAnsi="Garamond"/>
          <w:color w:val="000000"/>
        </w:rPr>
        <w:t xml:space="preserve">, si menzionano Arnaldo Momo, Giovanni Poli, Paolo Poli, Titina Rota, Pierluigi Samaritani, </w:t>
      </w:r>
      <w:proofErr w:type="spellStart"/>
      <w:r>
        <w:rPr>
          <w:rFonts w:ascii="Garamond" w:hAnsi="Garamond"/>
          <w:color w:val="000000"/>
        </w:rPr>
        <w:t>Mischa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Scandella</w:t>
      </w:r>
      <w:proofErr w:type="spellEnd"/>
      <w:r>
        <w:rPr>
          <w:rFonts w:ascii="Garamond" w:hAnsi="Garamond"/>
          <w:color w:val="000000"/>
        </w:rPr>
        <w:t xml:space="preserve">, Maurizio </w:t>
      </w:r>
      <w:proofErr w:type="spellStart"/>
      <w:r>
        <w:rPr>
          <w:rFonts w:ascii="Garamond" w:hAnsi="Garamond"/>
          <w:color w:val="000000"/>
        </w:rPr>
        <w:t>Scaparro</w:t>
      </w:r>
      <w:proofErr w:type="spellEnd"/>
      <w:r>
        <w:rPr>
          <w:rFonts w:ascii="Garamond" w:hAnsi="Garamond"/>
          <w:color w:val="000000"/>
        </w:rPr>
        <w:t xml:space="preserve">, Luigi </w:t>
      </w:r>
      <w:proofErr w:type="spellStart"/>
      <w:r>
        <w:rPr>
          <w:rFonts w:ascii="Garamond" w:hAnsi="Garamond"/>
          <w:color w:val="000000"/>
        </w:rPr>
        <w:t>Squarzina</w:t>
      </w:r>
      <w:proofErr w:type="spellEnd"/>
      <w:r>
        <w:rPr>
          <w:rFonts w:ascii="Garamond" w:hAnsi="Garamond"/>
          <w:color w:val="000000"/>
        </w:rPr>
        <w:t>.</w:t>
      </w:r>
    </w:p>
    <w:p w14:paraId="222788AF" w14:textId="77777777" w:rsidR="00BA3959" w:rsidRDefault="00BA3959" w:rsidP="00BA3959">
      <w:pPr>
        <w:spacing w:after="240"/>
        <w:ind w:right="283"/>
      </w:pPr>
    </w:p>
    <w:p w14:paraId="61B3702C" w14:textId="77777777" w:rsidR="00A71649" w:rsidRDefault="00A71649" w:rsidP="00BA3959">
      <w:pPr>
        <w:pStyle w:val="NormaleWeb"/>
        <w:shd w:val="clear" w:color="auto" w:fill="FFFFFF"/>
        <w:spacing w:before="0" w:beforeAutospacing="0" w:after="0" w:afterAutospacing="0"/>
        <w:ind w:right="283"/>
        <w:jc w:val="both"/>
        <w:rPr>
          <w:rFonts w:ascii="Garamond" w:eastAsia="Garamond" w:hAnsi="Garamond" w:cs="Garamond"/>
          <w:color w:val="000000"/>
        </w:rPr>
      </w:pPr>
    </w:p>
    <w:sectPr w:rsidR="00A71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27C2" w14:textId="77777777" w:rsidR="00354159" w:rsidRDefault="00354159">
      <w:r>
        <w:separator/>
      </w:r>
    </w:p>
  </w:endnote>
  <w:endnote w:type="continuationSeparator" w:id="0">
    <w:p w14:paraId="1517F9F2" w14:textId="77777777" w:rsidR="00354159" w:rsidRDefault="0035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461B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5421A35A" wp14:editId="2984A164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EAA0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030502B" wp14:editId="38806F77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504D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CAA9" w14:textId="77777777" w:rsidR="00354159" w:rsidRDefault="00354159">
      <w:r>
        <w:separator/>
      </w:r>
    </w:p>
  </w:footnote>
  <w:footnote w:type="continuationSeparator" w:id="0">
    <w:p w14:paraId="330EACB0" w14:textId="77777777" w:rsidR="00354159" w:rsidRDefault="0035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F60F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7A9B1374" wp14:editId="2A464560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275ECA" w14:textId="77777777"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95BB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64E02DA5" wp14:editId="0743EE82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A7EDBE" w14:textId="77777777"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459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1C63DF"/>
    <w:rsid w:val="00354159"/>
    <w:rsid w:val="00366203"/>
    <w:rsid w:val="0048514B"/>
    <w:rsid w:val="004A593C"/>
    <w:rsid w:val="00597AA0"/>
    <w:rsid w:val="00652976"/>
    <w:rsid w:val="008024EC"/>
    <w:rsid w:val="00980F12"/>
    <w:rsid w:val="00A71649"/>
    <w:rsid w:val="00BA3959"/>
    <w:rsid w:val="00CC4EF1"/>
    <w:rsid w:val="00D71EA6"/>
    <w:rsid w:val="00E86AB6"/>
    <w:rsid w:val="00E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138F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514B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63DF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8024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24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24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24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24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E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5</cp:revision>
  <dcterms:created xsi:type="dcterms:W3CDTF">2020-10-29T09:48:00Z</dcterms:created>
  <dcterms:modified xsi:type="dcterms:W3CDTF">2020-11-09T07:58:00Z</dcterms:modified>
</cp:coreProperties>
</file>