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Fondazione Giorgio Cini, Venezia – IISMC – 2021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Eyes on Music: Project of Visual Ethnomusicology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Annual scholarship “Diego Carpitella” intended for young researchers (ethnomusicologists or anthropologists) to make an audivisual product on an ethnomusicological topic.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Candidates must send the application to </w:t>
      </w:r>
      <w:hyperlink r:id="rId7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musica.comparata@cini.it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within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 April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9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Name and Surname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 of Birth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(gg/mm/aaaa):                                        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Nationality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Address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6.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Telephone Number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ID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or Passport code and dates (scanned document attached file JPEG o PDF):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8. Details of attached document (Word or PDF format) confirming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possession of full rights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on the film presented or confirming the right to use other subjects’ materials, as needed: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Link 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to one or more applicant’s audiovisual products, uploaded on a streaming platform (like YouTube, Vimeo, etc.):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Motivation letter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(max 300 words):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Garamond" w:cs="Garamond" w:eastAsia="Garamond" w:hAnsi="Garamond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99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Project description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including the ethnographic research behind this audiovisual project, a detailed description of the project’s plan, and technical details of the work (max 2 pages): 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99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, including personal experiences of working on audiovisual projects (max 1 page with date and sign): 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14.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Signature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center" w:pos="4252"/>
        <w:tab w:val="right" w:pos="8504"/>
      </w:tabs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tabs>
        <w:tab w:val="center" w:pos="4252"/>
        <w:tab w:val="right" w:pos="8504"/>
      </w:tabs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widowControl w:val="1"/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9050" distT="19050" distL="19050" distR="19050">
          <wp:extent cx="35052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52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18"/>
        <w:szCs w:val="18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jc w:val="center"/>
      <w:outlineLvl w:val="0"/>
    </w:pPr>
    <w:rPr>
      <w:b w:val="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outlineLvl w:val="1"/>
    </w:pPr>
    <w:rPr>
      <w:rFonts w:ascii="Garamond" w:cs="Garamond" w:eastAsia="Garamond" w:hAnsi="Garamond"/>
      <w:sz w:val="24"/>
      <w:szCs w:val="24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4A716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usica.comparata@cini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RG5V/TNH6e5zQvdDIPCkHmKEww==">AMUW2mXs1LEQzSuhpX29i4fhh1W+WRDd/tgc0iMHvInpnWCQrts45PJki6oI/P+kqibA/oCv1UXJAAigjEH7iETOnSWFlnYM/PE56+7wHumhPhoiAes4fh1UUPrey8FepW42FWcIe6Zc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2021-01-28T11:00:00Z</dcterms:created>
  <dc:creator>Marta Zoppetti</dc:creator>
</cp:coreProperties>
</file>