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7851528" w14:textId="09FD69CB" w:rsidR="009E01A0" w:rsidRPr="00BF2D20" w:rsidRDefault="00DD5B06" w:rsidP="00040E10">
      <w:pPr>
        <w:ind w:left="567" w:right="11"/>
        <w:rPr>
          <w:rFonts w:ascii="Garamond" w:hAnsi="Garamond"/>
          <w:b/>
          <w:sz w:val="40"/>
          <w:szCs w:val="40"/>
        </w:rPr>
      </w:pPr>
      <w:r w:rsidRPr="00BF2D20">
        <w:rPr>
          <w:rFonts w:ascii="Garamond" w:hAnsi="Garamond"/>
          <w:b/>
          <w:sz w:val="40"/>
          <w:szCs w:val="40"/>
        </w:rPr>
        <w:t>Il corpus delle incisioni di Giovanni Battista e Francesco Piranesi</w:t>
      </w:r>
    </w:p>
    <w:p w14:paraId="59D03AEE" w14:textId="77777777" w:rsidR="00040E10" w:rsidRPr="00040E10" w:rsidRDefault="00040E10" w:rsidP="00040E10">
      <w:pPr>
        <w:ind w:left="567" w:right="11"/>
        <w:rPr>
          <w:rFonts w:ascii="Garamond" w:hAnsi="Garamond"/>
          <w:b/>
          <w:i/>
          <w:sz w:val="15"/>
          <w:szCs w:val="40"/>
        </w:rPr>
      </w:pPr>
    </w:p>
    <w:p w14:paraId="347C4BA5" w14:textId="291B976E" w:rsidR="00DD5B06" w:rsidRPr="00040E10" w:rsidRDefault="138C5B7C" w:rsidP="00040E10">
      <w:pPr>
        <w:pStyle w:val="paragraph"/>
        <w:spacing w:before="0" w:beforeAutospacing="0" w:after="0" w:afterAutospacing="0" w:line="360" w:lineRule="auto"/>
        <w:ind w:left="555" w:right="105"/>
        <w:textAlignment w:val="baseline"/>
        <w:rPr>
          <w:rStyle w:val="eop"/>
          <w:rFonts w:ascii="Garamond" w:hAnsi="Garamond" w:cs="Arial"/>
          <w:b/>
          <w:sz w:val="32"/>
          <w:szCs w:val="28"/>
        </w:rPr>
      </w:pPr>
      <w:r w:rsidRPr="00040E10">
        <w:rPr>
          <w:rStyle w:val="normaltextrun"/>
          <w:rFonts w:ascii="Garamond" w:hAnsi="Garamond" w:cs="Arial"/>
          <w:b/>
          <w:sz w:val="32"/>
          <w:szCs w:val="28"/>
        </w:rPr>
        <w:t>Alessandro Martoni</w:t>
      </w:r>
    </w:p>
    <w:p w14:paraId="1F6EC84B" w14:textId="36B18430" w:rsidR="00DD5B06" w:rsidRPr="00040E10" w:rsidRDefault="138C5B7C" w:rsidP="00040E10">
      <w:pPr>
        <w:pStyle w:val="paragraph"/>
        <w:spacing w:before="0" w:beforeAutospacing="0" w:after="0" w:afterAutospacing="0" w:line="360" w:lineRule="auto"/>
        <w:ind w:left="555" w:right="105"/>
        <w:textAlignment w:val="baseline"/>
        <w:rPr>
          <w:rStyle w:val="eop"/>
          <w:rFonts w:ascii="Garamond" w:hAnsi="Garamond" w:cs="Arial"/>
          <w:sz w:val="32"/>
          <w:szCs w:val="28"/>
        </w:rPr>
      </w:pPr>
      <w:r w:rsidRPr="00040E10">
        <w:rPr>
          <w:rStyle w:val="normaltextrun"/>
          <w:rFonts w:ascii="Garamond" w:hAnsi="Garamond" w:cs="Arial"/>
          <w:i/>
          <w:iCs/>
          <w:sz w:val="32"/>
          <w:szCs w:val="28"/>
        </w:rPr>
        <w:t>Referente scientifico delle collezioni d’arte della Fondazione Giorgio Cini</w:t>
      </w:r>
    </w:p>
    <w:p w14:paraId="551FBD31" w14:textId="77777777" w:rsidR="00DD5B06" w:rsidRDefault="00DD5B06" w:rsidP="00DD5B06">
      <w:pPr>
        <w:pStyle w:val="paragraph"/>
        <w:spacing w:before="0" w:beforeAutospacing="0" w:after="0" w:afterAutospacing="0"/>
        <w:ind w:left="555" w:right="105"/>
        <w:textAlignment w:val="baseline"/>
        <w:rPr>
          <w:rFonts w:ascii="Arial" w:hAnsi="Arial" w:cs="Arial"/>
          <w:sz w:val="18"/>
          <w:szCs w:val="18"/>
        </w:rPr>
      </w:pPr>
    </w:p>
    <w:p w14:paraId="5576F103" w14:textId="77777777" w:rsidR="00DD5B06" w:rsidRPr="00DD5B06" w:rsidRDefault="00DD5B06" w:rsidP="00040E10">
      <w:pPr>
        <w:widowControl/>
        <w:suppressAutoHyphens w:val="0"/>
        <w:spacing w:line="360" w:lineRule="auto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  <w:r w:rsidRPr="00DD5B06">
        <w:rPr>
          <w:rFonts w:ascii="Garamond" w:hAnsi="Garamond" w:cs="Arial"/>
          <w:color w:val="000000"/>
          <w:sz w:val="24"/>
          <w:szCs w:val="24"/>
        </w:rPr>
        <w:t>Il corpus incisorio integrale di Giovanni Battista Piranesi (Venezia 1720 – Roma 1778) e del figlio Francesco Piranesi (Roma 1758 – Parigi 1810) fu acquisito dall’Istituto di storia dell’Arte nel 1961 grazie all’acquisto dell’edizione in 24 volumi della “Calcographie de Piranesi Frères” pubblicata tra 1800 e 1807. Sul contropiatto anteriore della legatura in cartone e p</w:t>
      </w:r>
      <w:bookmarkStart w:id="0" w:name="_GoBack"/>
      <w:bookmarkEnd w:id="0"/>
      <w:r w:rsidRPr="00DD5B06">
        <w:rPr>
          <w:rFonts w:ascii="Garamond" w:hAnsi="Garamond" w:cs="Arial"/>
          <w:color w:val="000000"/>
          <w:sz w:val="24"/>
          <w:szCs w:val="24"/>
        </w:rPr>
        <w:t>elle verde di ciascun volume è presente un’etichetta recante la dicitura «Rue de la Harpe, vis-à-vis celle des Deux-Portes, n. 26, à Paris. TESSIER. RELIEUR ET DOREUR. De la Trésorerie nationale, du Bureau de la Guerre», elemento che consente di attestare la fabbricazione della legatura e collegarla all’attività di Jean-Joseph Tessier, rilegatore ufficiale della Trésorerie Nationale. Sul contropiatto anteriore di tutti gli esemplari si trova anche l’</w:t>
      </w:r>
      <w:r w:rsidRPr="138C5B7C">
        <w:rPr>
          <w:rFonts w:ascii="Garamond" w:hAnsi="Garamond" w:cs="Arial"/>
          <w:i/>
          <w:iCs/>
          <w:color w:val="000000"/>
          <w:sz w:val="24"/>
          <w:szCs w:val="24"/>
          <w:bdr w:val="none" w:sz="0" w:space="0" w:color="auto" w:frame="1"/>
        </w:rPr>
        <w:t>ex libris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 del Commendatore Gregorio Fumach, recante il motto </w:t>
      </w:r>
      <w:r w:rsidRPr="138C5B7C">
        <w:rPr>
          <w:rFonts w:ascii="Garamond" w:hAnsi="Garamond" w:cs="Arial"/>
          <w:i/>
          <w:iCs/>
          <w:color w:val="000000"/>
          <w:sz w:val="24"/>
          <w:szCs w:val="24"/>
          <w:bdr w:val="none" w:sz="0" w:space="0" w:color="auto" w:frame="1"/>
        </w:rPr>
        <w:t>Anchora Inparo</w:t>
      </w:r>
      <w:r w:rsidRPr="00DD5B06">
        <w:rPr>
          <w:rFonts w:ascii="Garamond" w:hAnsi="Garamond" w:cs="Arial"/>
          <w:color w:val="000000"/>
          <w:sz w:val="24"/>
          <w:szCs w:val="24"/>
        </w:rPr>
        <w:t>: preziosa traccia di possesso che riconduce l’edizione alla figura dell’imprenditore milanese, protagonista dell’industria dell’abbigliamento in età fascista, titolare della sartoria Fumach Medaglia (fu il sarto della Regina Margherita di Savoia) e collezionista d’arte antica e libri di pregio.</w:t>
      </w:r>
    </w:p>
    <w:p w14:paraId="4F08DF66" w14:textId="073FFB3C" w:rsidR="00DD5B06" w:rsidRPr="00DD5B06" w:rsidRDefault="138C5B7C" w:rsidP="00040E10">
      <w:pPr>
        <w:widowControl/>
        <w:suppressAutoHyphens w:val="0"/>
        <w:spacing w:line="360" w:lineRule="auto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  <w:r w:rsidRPr="138C5B7C">
        <w:rPr>
          <w:rFonts w:ascii="Garamond" w:hAnsi="Garamond" w:cs="Arial"/>
          <w:color w:val="000000" w:themeColor="text1"/>
          <w:sz w:val="24"/>
          <w:szCs w:val="24"/>
        </w:rPr>
        <w:t xml:space="preserve">In occasione della </w:t>
      </w:r>
      <w:hyperlink r:id="rId8">
        <w:r w:rsidRPr="138C5B7C">
          <w:rPr>
            <w:rFonts w:ascii="Garamond" w:hAnsi="Garamond" w:cs="Arial"/>
            <w:color w:val="000000" w:themeColor="text1"/>
            <w:sz w:val="24"/>
            <w:szCs w:val="24"/>
          </w:rPr>
          <w:t xml:space="preserve">mostra </w:t>
        </w:r>
        <w:r w:rsidRPr="138C5B7C">
          <w:rPr>
            <w:rFonts w:ascii="Garamond" w:hAnsi="Garamond" w:cs="Arial"/>
            <w:i/>
            <w:iCs/>
            <w:color w:val="000000" w:themeColor="text1"/>
            <w:sz w:val="24"/>
            <w:szCs w:val="24"/>
          </w:rPr>
          <w:t>Disegni di Giambattisrta Piranesi</w:t>
        </w:r>
      </w:hyperlink>
      <w:r w:rsidRPr="138C5B7C">
        <w:rPr>
          <w:rFonts w:ascii="Garamond" w:hAnsi="Garamond" w:cs="Arial"/>
          <w:color w:val="000000" w:themeColor="text1"/>
          <w:sz w:val="24"/>
          <w:szCs w:val="24"/>
        </w:rPr>
        <w:t xml:space="preserve"> che la Fondazione Giorgio Cini dedicò all’opera dell’architetto e incisore veneziano in occasione del bicentenario della morte (</w:t>
      </w:r>
      <w:r w:rsidRPr="138C5B7C">
        <w:rPr>
          <w:rFonts w:ascii="Garamond" w:hAnsi="Garamond" w:cs="Arial"/>
          <w:i/>
          <w:iCs/>
          <w:color w:val="000000" w:themeColor="text1"/>
          <w:sz w:val="24"/>
          <w:szCs w:val="24"/>
        </w:rPr>
        <w:t>Piranesi: incisioni, rami, legature, architetture</w:t>
      </w:r>
      <w:r w:rsidRPr="138C5B7C">
        <w:rPr>
          <w:rFonts w:ascii="Garamond" w:hAnsi="Garamond" w:cs="Arial"/>
          <w:color w:val="000000" w:themeColor="text1"/>
          <w:sz w:val="24"/>
          <w:szCs w:val="24"/>
        </w:rPr>
        <w:t>, catalogo a cura di A. Bettagno, Vicenza 1978), la maggioranza dei volumi fu sfascicolata e smembrata per ricavarne singole incisioni da incorniciare ed esporre. Oggi le stampe si conservano, entro cartelline, nelle cassettiere metalliche del Gabinetto dei Disegni e delle Stampe.</w:t>
      </w:r>
    </w:p>
    <w:p w14:paraId="226F27B2" w14:textId="7B0E3A71" w:rsidR="00DD5B06" w:rsidRDefault="00DD5B06" w:rsidP="00040E10">
      <w:pPr>
        <w:widowControl/>
        <w:suppressAutoHyphens w:val="0"/>
        <w:spacing w:line="360" w:lineRule="auto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  <w:r w:rsidRPr="00DD5B06">
        <w:rPr>
          <w:rFonts w:ascii="Garamond" w:hAnsi="Garamond" w:cs="Arial"/>
          <w:color w:val="000000"/>
          <w:sz w:val="24"/>
          <w:szCs w:val="24"/>
        </w:rPr>
        <w:t xml:space="preserve">Completano la raccolta grafica piranesiana: una copia in edizione Salomoni, edita nel 1764, della </w:t>
      </w:r>
      <w:r w:rsidRPr="138C5B7C">
        <w:rPr>
          <w:rFonts w:ascii="Garamond" w:hAnsi="Garamond" w:cs="Arial"/>
          <w:i/>
          <w:iCs/>
          <w:color w:val="000000"/>
          <w:sz w:val="24"/>
          <w:szCs w:val="24"/>
          <w:bdr w:val="none" w:sz="0" w:space="0" w:color="auto" w:frame="1"/>
        </w:rPr>
        <w:t>Raccolta di alcuni disegni del Barbieri da Cento detto il Guercino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, cui si aggiunge un altro esemplare di medesima edizione, con un numero inferiore di incisioni e con uso di inchiostri di tinte diverse; e una copia in unico volume delle </w:t>
      </w:r>
      <w:r w:rsidRPr="138C5B7C">
        <w:rPr>
          <w:rFonts w:ascii="Garamond" w:hAnsi="Garamond" w:cs="Arial"/>
          <w:i/>
          <w:iCs/>
          <w:color w:val="000000"/>
          <w:sz w:val="24"/>
          <w:szCs w:val="24"/>
          <w:bdr w:val="none" w:sz="0" w:space="0" w:color="auto" w:frame="1"/>
        </w:rPr>
        <w:t>opere Peinture de la ville Lante á Roma de l’invention de Jules Romain e Peinture de la Sala Borgia au Vatican de l’invention de Raphael</w:t>
      </w:r>
      <w:r w:rsidRPr="00DD5B06">
        <w:rPr>
          <w:rFonts w:ascii="Garamond" w:hAnsi="Garamond" w:cs="Arial"/>
          <w:color w:val="000000"/>
          <w:sz w:val="24"/>
          <w:szCs w:val="24"/>
        </w:rPr>
        <w:t xml:space="preserve">: edizione francese, per i torchi della Calcografia Piranesi Frères e Leblanc, delle incisioni di Tommaso Piroli che riproducono gli affreschi perduti, su invenzione di Giulio Romano, un tempo nel casino di villa Turini Lante sul Gianicolo e le decorazioni raffaellesche delle logge nel Palazzo Vaticano. Il contropiatto di quest’ ultimo volume reca un ex libris che dichiara un </w:t>
      </w:r>
      <w:r w:rsidRPr="00DD5B06">
        <w:rPr>
          <w:rFonts w:ascii="Garamond" w:hAnsi="Garamond" w:cs="Arial"/>
          <w:color w:val="000000"/>
          <w:sz w:val="24"/>
          <w:szCs w:val="24"/>
        </w:rPr>
        <w:lastRenderedPageBreak/>
        <w:t>passaggio dell’opera nella biblioteca di Alexandre Dufour (1760-1835), architetto regio responsabile, insieme a Pierre-François-Léonard fontane, di interventi nel castello di Versailles.</w:t>
      </w:r>
    </w:p>
    <w:p w14:paraId="6BE4FF01" w14:textId="77777777" w:rsidR="00DD5B06" w:rsidRPr="00DD5B06" w:rsidRDefault="00DD5B06" w:rsidP="00040E10">
      <w:pPr>
        <w:widowControl/>
        <w:suppressAutoHyphens w:val="0"/>
        <w:spacing w:line="360" w:lineRule="auto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</w:p>
    <w:p w14:paraId="1D5290C3" w14:textId="77777777" w:rsidR="00DD5B06" w:rsidRPr="00DD5B06" w:rsidRDefault="00DD5B06" w:rsidP="00040E10">
      <w:pPr>
        <w:widowControl/>
        <w:suppressAutoHyphens w:val="0"/>
        <w:spacing w:line="360" w:lineRule="auto"/>
        <w:ind w:left="567"/>
        <w:jc w:val="both"/>
        <w:textAlignment w:val="baseline"/>
        <w:rPr>
          <w:rFonts w:ascii="Garamond" w:hAnsi="Garamond" w:cs="Arial"/>
          <w:color w:val="000000"/>
          <w:sz w:val="24"/>
          <w:szCs w:val="24"/>
        </w:rPr>
      </w:pPr>
      <w:r w:rsidRPr="00DD5B06">
        <w:rPr>
          <w:rFonts w:ascii="Garamond" w:hAnsi="Garamond" w:cs="Arial"/>
          <w:color w:val="000000"/>
          <w:sz w:val="24"/>
          <w:szCs w:val="24"/>
        </w:rPr>
        <w:t xml:space="preserve">Nel </w:t>
      </w:r>
      <w:r w:rsidRPr="00DD5B06">
        <w:rPr>
          <w:rFonts w:ascii="Garamond" w:hAnsi="Garamond" w:cs="Arial"/>
          <w:b/>
          <w:bCs/>
          <w:color w:val="000000"/>
          <w:sz w:val="24"/>
          <w:szCs w:val="24"/>
          <w:bdr w:val="none" w:sz="0" w:space="0" w:color="auto" w:frame="1"/>
        </w:rPr>
        <w:t xml:space="preserve">2010 </w:t>
      </w:r>
      <w:r w:rsidRPr="00DD5B06">
        <w:rPr>
          <w:rFonts w:ascii="Garamond" w:hAnsi="Garamond" w:cs="Arial"/>
          <w:color w:val="000000"/>
          <w:sz w:val="24"/>
          <w:szCs w:val="24"/>
        </w:rPr>
        <w:t>la Fondazione Giorgio Cini ha promosso e organizzato un’esposizione itinerante dell’intera opera incisoria piranesiana (</w:t>
      </w:r>
      <w:hyperlink r:id="rId9" w:history="1">
        <w:r w:rsidRPr="138C5B7C">
          <w:rPr>
            <w:rFonts w:ascii="Garamond" w:hAnsi="Garamond" w:cs="Arial"/>
            <w:i/>
            <w:iCs/>
            <w:color w:val="000000"/>
            <w:sz w:val="24"/>
            <w:szCs w:val="24"/>
          </w:rPr>
          <w:t>Le Arti di Piranesi. Architetto, incisore, antiquario, vedutista, designer</w:t>
        </w:r>
      </w:hyperlink>
      <w:r w:rsidRPr="00DD5B06">
        <w:rPr>
          <w:rFonts w:ascii="Garamond" w:hAnsi="Garamond" w:cs="Arial"/>
          <w:color w:val="000000"/>
          <w:sz w:val="24"/>
          <w:szCs w:val="24"/>
        </w:rPr>
        <w:t xml:space="preserve">), con una selezione di circa 300 stampe a rappresentare la variegata e poliedrica attività dell’artista settecentesco. A queste sono state affiancate alcune creazioni tridimensionali di progetti tratti dalle </w:t>
      </w:r>
      <w:r w:rsidRPr="138C5B7C">
        <w:rPr>
          <w:rFonts w:ascii="Garamond" w:hAnsi="Garamond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Diverse maniere di adornare i cammini </w:t>
      </w:r>
      <w:r w:rsidRPr="00DD5B06">
        <w:rPr>
          <w:rFonts w:ascii="Garamond" w:hAnsi="Garamond" w:cs="Arial"/>
          <w:color w:val="000000"/>
          <w:sz w:val="24"/>
          <w:szCs w:val="24"/>
        </w:rPr>
        <w:t>(1769), realizzate dall’atelier madrileno Factum Arte; e una video di animazione dedicata alle visionarie invenzioni delle </w:t>
      </w:r>
      <w:r w:rsidRPr="138C5B7C">
        <w:rPr>
          <w:rFonts w:ascii="Garamond" w:hAnsi="Garamond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Carceri </w:t>
      </w:r>
      <w:r w:rsidRPr="00DD5B06">
        <w:rPr>
          <w:rFonts w:ascii="Garamond" w:hAnsi="Garamond" w:cs="Arial"/>
          <w:color w:val="000000"/>
          <w:sz w:val="24"/>
          <w:szCs w:val="24"/>
        </w:rPr>
        <w:t>(1761), utilizzando gli esemplari conservati alla Fondazione Cini (progetto e realizzazione di Grégoire Dupont per Fondazione Giorgio Cini e Factum Arte).</w:t>
      </w:r>
    </w:p>
    <w:p w14:paraId="03BCD83C" w14:textId="6A949B04" w:rsidR="00051840" w:rsidRDefault="00051840" w:rsidP="00040E10">
      <w:pPr>
        <w:pStyle w:val="Didefault"/>
        <w:bidi/>
        <w:spacing w:line="360" w:lineRule="auto"/>
        <w:rPr>
          <w:rFonts w:ascii="Garamond" w:hAnsi="Garamond"/>
          <w:sz w:val="24"/>
          <w:szCs w:val="24"/>
          <w:rtl/>
        </w:rPr>
      </w:pPr>
    </w:p>
    <w:p w14:paraId="620BD7B3" w14:textId="77777777" w:rsidR="00061C4A" w:rsidRPr="005E74D7" w:rsidRDefault="00061C4A" w:rsidP="00040E10">
      <w:pPr>
        <w:pStyle w:val="Didefault"/>
        <w:bidi/>
        <w:spacing w:line="360" w:lineRule="auto"/>
        <w:rPr>
          <w:rFonts w:ascii="Garamond" w:hAnsi="Garamond"/>
          <w:sz w:val="24"/>
          <w:szCs w:val="24"/>
        </w:rPr>
      </w:pPr>
    </w:p>
    <w:sectPr w:rsidR="00061C4A" w:rsidRPr="005E74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61" w:right="1361" w:bottom="1361" w:left="1361" w:header="709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60ECF" w14:textId="77777777" w:rsidR="006E02AC" w:rsidRDefault="006E02AC">
      <w:r>
        <w:separator/>
      </w:r>
    </w:p>
  </w:endnote>
  <w:endnote w:type="continuationSeparator" w:id="0">
    <w:p w14:paraId="45C345E4" w14:textId="77777777" w:rsidR="006E02AC" w:rsidRDefault="006E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B4F49" w14:textId="77777777" w:rsidR="009E01A0" w:rsidRDefault="009E01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D1D97" w14:textId="77777777" w:rsidR="00A00633" w:rsidRDefault="00A00633"/>
  <w:p w14:paraId="5AB505F1" w14:textId="77777777" w:rsidR="00A00633" w:rsidRDefault="00A00633"/>
  <w:p w14:paraId="6DB1D174" w14:textId="77777777" w:rsidR="00A00633" w:rsidRDefault="00A00633"/>
  <w:p w14:paraId="59BD465A" w14:textId="77777777" w:rsidR="00A00633" w:rsidRDefault="00A00633"/>
  <w:p w14:paraId="4D40C43C" w14:textId="77777777" w:rsidR="00A00633" w:rsidRDefault="00A0063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25B55" w14:textId="77777777" w:rsidR="009E01A0" w:rsidRDefault="009E01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40184" w14:textId="77777777" w:rsidR="006E02AC" w:rsidRDefault="006E02AC">
      <w:r>
        <w:separator/>
      </w:r>
    </w:p>
  </w:footnote>
  <w:footnote w:type="continuationSeparator" w:id="0">
    <w:p w14:paraId="39C955F8" w14:textId="77777777" w:rsidR="006E02AC" w:rsidRDefault="006E0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D94F5" w14:textId="77777777" w:rsidR="00A00633" w:rsidRDefault="00A006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CB157" w14:textId="77777777" w:rsidR="0096763A" w:rsidRDefault="0096763A"/>
  <w:p w14:paraId="343CAE11" w14:textId="77777777" w:rsidR="00A00633" w:rsidRDefault="00A00633"/>
  <w:p w14:paraId="16EEA23D" w14:textId="77777777" w:rsidR="00A00633" w:rsidRDefault="00A00633">
    <w:r>
      <w:rPr>
        <w:noProof/>
      </w:rPr>
      <w:drawing>
        <wp:anchor distT="152400" distB="152400" distL="152400" distR="152400" simplePos="0" relativeHeight="251657728" behindDoc="1" locked="0" layoutInCell="1" allowOverlap="1" wp14:anchorId="3627DFF4" wp14:editId="32C75F6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7559040" cy="10691495"/>
          <wp:effectExtent l="0" t="0" r="10160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559E0" w14:textId="77777777" w:rsidR="00A00633" w:rsidRDefault="00A006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C8CBE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4D7"/>
    <w:rsid w:val="000002D7"/>
    <w:rsid w:val="000020F9"/>
    <w:rsid w:val="00007461"/>
    <w:rsid w:val="00021CF6"/>
    <w:rsid w:val="0003335C"/>
    <w:rsid w:val="00040E10"/>
    <w:rsid w:val="00044141"/>
    <w:rsid w:val="00045C43"/>
    <w:rsid w:val="00051840"/>
    <w:rsid w:val="00051FB7"/>
    <w:rsid w:val="0005222E"/>
    <w:rsid w:val="00054020"/>
    <w:rsid w:val="00057300"/>
    <w:rsid w:val="00061C4A"/>
    <w:rsid w:val="00062CE1"/>
    <w:rsid w:val="0007034E"/>
    <w:rsid w:val="000713FA"/>
    <w:rsid w:val="00071B45"/>
    <w:rsid w:val="000738A2"/>
    <w:rsid w:val="00075FA7"/>
    <w:rsid w:val="00093779"/>
    <w:rsid w:val="000958DE"/>
    <w:rsid w:val="000A1EF8"/>
    <w:rsid w:val="000B03EE"/>
    <w:rsid w:val="000C37AF"/>
    <w:rsid w:val="000C673B"/>
    <w:rsid w:val="000C6975"/>
    <w:rsid w:val="000D52AD"/>
    <w:rsid w:val="000F6E08"/>
    <w:rsid w:val="0010083B"/>
    <w:rsid w:val="00104A34"/>
    <w:rsid w:val="00111132"/>
    <w:rsid w:val="0011206C"/>
    <w:rsid w:val="00113106"/>
    <w:rsid w:val="001131FA"/>
    <w:rsid w:val="00114645"/>
    <w:rsid w:val="001176E9"/>
    <w:rsid w:val="00117C44"/>
    <w:rsid w:val="00124751"/>
    <w:rsid w:val="00144A6E"/>
    <w:rsid w:val="00147C95"/>
    <w:rsid w:val="00156950"/>
    <w:rsid w:val="001613F5"/>
    <w:rsid w:val="00166A41"/>
    <w:rsid w:val="00177875"/>
    <w:rsid w:val="00192783"/>
    <w:rsid w:val="001B2DBD"/>
    <w:rsid w:val="001B531E"/>
    <w:rsid w:val="001C34F8"/>
    <w:rsid w:val="001D6E94"/>
    <w:rsid w:val="001E417D"/>
    <w:rsid w:val="001F1DA7"/>
    <w:rsid w:val="001F5EFF"/>
    <w:rsid w:val="001F7B73"/>
    <w:rsid w:val="00224EA5"/>
    <w:rsid w:val="00226369"/>
    <w:rsid w:val="00227D0E"/>
    <w:rsid w:val="00242CC8"/>
    <w:rsid w:val="00244880"/>
    <w:rsid w:val="002471B4"/>
    <w:rsid w:val="00251E8F"/>
    <w:rsid w:val="0025288B"/>
    <w:rsid w:val="0025753D"/>
    <w:rsid w:val="00265C7B"/>
    <w:rsid w:val="002817C1"/>
    <w:rsid w:val="00284B5A"/>
    <w:rsid w:val="00284CC7"/>
    <w:rsid w:val="00292B00"/>
    <w:rsid w:val="002A1E4D"/>
    <w:rsid w:val="002A25CB"/>
    <w:rsid w:val="002A67B8"/>
    <w:rsid w:val="002B1D93"/>
    <w:rsid w:val="002B4D92"/>
    <w:rsid w:val="002B7D66"/>
    <w:rsid w:val="002C7261"/>
    <w:rsid w:val="002D1714"/>
    <w:rsid w:val="002E01B3"/>
    <w:rsid w:val="002E1ABB"/>
    <w:rsid w:val="002E53C8"/>
    <w:rsid w:val="002F51C3"/>
    <w:rsid w:val="002F6FDC"/>
    <w:rsid w:val="00314C14"/>
    <w:rsid w:val="00316975"/>
    <w:rsid w:val="003230A4"/>
    <w:rsid w:val="00325020"/>
    <w:rsid w:val="00326032"/>
    <w:rsid w:val="003440C6"/>
    <w:rsid w:val="00351A99"/>
    <w:rsid w:val="00352C17"/>
    <w:rsid w:val="00352DAC"/>
    <w:rsid w:val="00356D95"/>
    <w:rsid w:val="00367711"/>
    <w:rsid w:val="0037378A"/>
    <w:rsid w:val="00376B2D"/>
    <w:rsid w:val="003871D9"/>
    <w:rsid w:val="003A155A"/>
    <w:rsid w:val="003A27B7"/>
    <w:rsid w:val="003A3A16"/>
    <w:rsid w:val="003A729B"/>
    <w:rsid w:val="003C1BCE"/>
    <w:rsid w:val="003D13CB"/>
    <w:rsid w:val="003D54BF"/>
    <w:rsid w:val="00413A13"/>
    <w:rsid w:val="00417FCE"/>
    <w:rsid w:val="00425D39"/>
    <w:rsid w:val="00431443"/>
    <w:rsid w:val="004502F4"/>
    <w:rsid w:val="00450C3C"/>
    <w:rsid w:val="00464E48"/>
    <w:rsid w:val="00475D62"/>
    <w:rsid w:val="00482733"/>
    <w:rsid w:val="00487602"/>
    <w:rsid w:val="004B1962"/>
    <w:rsid w:val="004D3E6C"/>
    <w:rsid w:val="004E225C"/>
    <w:rsid w:val="004F1BE0"/>
    <w:rsid w:val="004F3557"/>
    <w:rsid w:val="004F4446"/>
    <w:rsid w:val="00505A6C"/>
    <w:rsid w:val="00505AA9"/>
    <w:rsid w:val="00516173"/>
    <w:rsid w:val="0051655A"/>
    <w:rsid w:val="005249AA"/>
    <w:rsid w:val="00524E3B"/>
    <w:rsid w:val="00525164"/>
    <w:rsid w:val="00556FB7"/>
    <w:rsid w:val="00566E78"/>
    <w:rsid w:val="005819B6"/>
    <w:rsid w:val="00594673"/>
    <w:rsid w:val="005B0270"/>
    <w:rsid w:val="005B37FF"/>
    <w:rsid w:val="005C1817"/>
    <w:rsid w:val="005C3CE0"/>
    <w:rsid w:val="005C5347"/>
    <w:rsid w:val="005C7A23"/>
    <w:rsid w:val="005E4460"/>
    <w:rsid w:val="005E4D72"/>
    <w:rsid w:val="005E68D0"/>
    <w:rsid w:val="005E74D7"/>
    <w:rsid w:val="005F23BB"/>
    <w:rsid w:val="005F25A7"/>
    <w:rsid w:val="005F422E"/>
    <w:rsid w:val="00602872"/>
    <w:rsid w:val="006104F3"/>
    <w:rsid w:val="00611262"/>
    <w:rsid w:val="00612E69"/>
    <w:rsid w:val="00614ECF"/>
    <w:rsid w:val="00630F5F"/>
    <w:rsid w:val="006379B2"/>
    <w:rsid w:val="006405C1"/>
    <w:rsid w:val="00643787"/>
    <w:rsid w:val="0065352B"/>
    <w:rsid w:val="00671D3B"/>
    <w:rsid w:val="0067486B"/>
    <w:rsid w:val="00674DEA"/>
    <w:rsid w:val="00681B95"/>
    <w:rsid w:val="00683FF8"/>
    <w:rsid w:val="006858E7"/>
    <w:rsid w:val="00691862"/>
    <w:rsid w:val="006A451F"/>
    <w:rsid w:val="006B0604"/>
    <w:rsid w:val="006C4A47"/>
    <w:rsid w:val="006C756F"/>
    <w:rsid w:val="006E02AC"/>
    <w:rsid w:val="006F3099"/>
    <w:rsid w:val="00701A34"/>
    <w:rsid w:val="007139D9"/>
    <w:rsid w:val="00714562"/>
    <w:rsid w:val="007202AF"/>
    <w:rsid w:val="00725F5A"/>
    <w:rsid w:val="00732727"/>
    <w:rsid w:val="00740C6E"/>
    <w:rsid w:val="00753828"/>
    <w:rsid w:val="007615C2"/>
    <w:rsid w:val="007616A4"/>
    <w:rsid w:val="00764459"/>
    <w:rsid w:val="00764482"/>
    <w:rsid w:val="00765B20"/>
    <w:rsid w:val="0077219E"/>
    <w:rsid w:val="00776513"/>
    <w:rsid w:val="00784644"/>
    <w:rsid w:val="007971BC"/>
    <w:rsid w:val="007A5C67"/>
    <w:rsid w:val="007A6827"/>
    <w:rsid w:val="007B43DD"/>
    <w:rsid w:val="007C283E"/>
    <w:rsid w:val="007C4835"/>
    <w:rsid w:val="007C78EB"/>
    <w:rsid w:val="007E3956"/>
    <w:rsid w:val="007E4FB9"/>
    <w:rsid w:val="007E6AEC"/>
    <w:rsid w:val="007E7E7F"/>
    <w:rsid w:val="007F230A"/>
    <w:rsid w:val="007F517F"/>
    <w:rsid w:val="00805905"/>
    <w:rsid w:val="0080787C"/>
    <w:rsid w:val="00825E93"/>
    <w:rsid w:val="00837850"/>
    <w:rsid w:val="00840EE2"/>
    <w:rsid w:val="00845820"/>
    <w:rsid w:val="00860EFE"/>
    <w:rsid w:val="00863A0D"/>
    <w:rsid w:val="00864E8C"/>
    <w:rsid w:val="008721AF"/>
    <w:rsid w:val="00874867"/>
    <w:rsid w:val="0088563C"/>
    <w:rsid w:val="00887EA8"/>
    <w:rsid w:val="00892CEA"/>
    <w:rsid w:val="008B3F1F"/>
    <w:rsid w:val="008B5E24"/>
    <w:rsid w:val="008D0C06"/>
    <w:rsid w:val="008D3369"/>
    <w:rsid w:val="008D3ADA"/>
    <w:rsid w:val="008D7497"/>
    <w:rsid w:val="008E1D12"/>
    <w:rsid w:val="008F25B5"/>
    <w:rsid w:val="00905BB8"/>
    <w:rsid w:val="00915939"/>
    <w:rsid w:val="00927964"/>
    <w:rsid w:val="00927E83"/>
    <w:rsid w:val="009307DD"/>
    <w:rsid w:val="009330E2"/>
    <w:rsid w:val="00936217"/>
    <w:rsid w:val="0094295D"/>
    <w:rsid w:val="00944FC4"/>
    <w:rsid w:val="0095324C"/>
    <w:rsid w:val="00960A5A"/>
    <w:rsid w:val="00963D88"/>
    <w:rsid w:val="0096763A"/>
    <w:rsid w:val="00967A2B"/>
    <w:rsid w:val="00970B6D"/>
    <w:rsid w:val="00983A1F"/>
    <w:rsid w:val="009A1D4B"/>
    <w:rsid w:val="009A32D6"/>
    <w:rsid w:val="009D03A1"/>
    <w:rsid w:val="009E01A0"/>
    <w:rsid w:val="00A00633"/>
    <w:rsid w:val="00A05163"/>
    <w:rsid w:val="00A06631"/>
    <w:rsid w:val="00A11F13"/>
    <w:rsid w:val="00A134B4"/>
    <w:rsid w:val="00A13ABE"/>
    <w:rsid w:val="00A16DE6"/>
    <w:rsid w:val="00A403BD"/>
    <w:rsid w:val="00A5354E"/>
    <w:rsid w:val="00A55AB4"/>
    <w:rsid w:val="00A6098D"/>
    <w:rsid w:val="00A62DC5"/>
    <w:rsid w:val="00A6791E"/>
    <w:rsid w:val="00A72021"/>
    <w:rsid w:val="00A779F1"/>
    <w:rsid w:val="00A77A9C"/>
    <w:rsid w:val="00A81A03"/>
    <w:rsid w:val="00A943F1"/>
    <w:rsid w:val="00AA0AE3"/>
    <w:rsid w:val="00AA101C"/>
    <w:rsid w:val="00AA1A19"/>
    <w:rsid w:val="00AB0B60"/>
    <w:rsid w:val="00AB519D"/>
    <w:rsid w:val="00AC4273"/>
    <w:rsid w:val="00AC5DBD"/>
    <w:rsid w:val="00AD7996"/>
    <w:rsid w:val="00AF4337"/>
    <w:rsid w:val="00B01CAC"/>
    <w:rsid w:val="00B117FF"/>
    <w:rsid w:val="00B12642"/>
    <w:rsid w:val="00B21843"/>
    <w:rsid w:val="00B249E7"/>
    <w:rsid w:val="00B264AE"/>
    <w:rsid w:val="00B674F5"/>
    <w:rsid w:val="00B7141D"/>
    <w:rsid w:val="00B74A43"/>
    <w:rsid w:val="00B765EC"/>
    <w:rsid w:val="00B769C5"/>
    <w:rsid w:val="00B802DC"/>
    <w:rsid w:val="00B9017A"/>
    <w:rsid w:val="00B92BAF"/>
    <w:rsid w:val="00B93F9F"/>
    <w:rsid w:val="00BA2D63"/>
    <w:rsid w:val="00BA34EA"/>
    <w:rsid w:val="00BA3A10"/>
    <w:rsid w:val="00BA6AD0"/>
    <w:rsid w:val="00BA6DE1"/>
    <w:rsid w:val="00BB0117"/>
    <w:rsid w:val="00BB437A"/>
    <w:rsid w:val="00BB4E28"/>
    <w:rsid w:val="00BB5F72"/>
    <w:rsid w:val="00BB672B"/>
    <w:rsid w:val="00BC0C7E"/>
    <w:rsid w:val="00BC159A"/>
    <w:rsid w:val="00BD4A1C"/>
    <w:rsid w:val="00BF2D20"/>
    <w:rsid w:val="00BF5E88"/>
    <w:rsid w:val="00C0100A"/>
    <w:rsid w:val="00C02335"/>
    <w:rsid w:val="00C039D1"/>
    <w:rsid w:val="00C0441A"/>
    <w:rsid w:val="00C05AA6"/>
    <w:rsid w:val="00C0638B"/>
    <w:rsid w:val="00C15EBD"/>
    <w:rsid w:val="00C16E8A"/>
    <w:rsid w:val="00C21438"/>
    <w:rsid w:val="00C2215A"/>
    <w:rsid w:val="00C31BF5"/>
    <w:rsid w:val="00C37E92"/>
    <w:rsid w:val="00C41283"/>
    <w:rsid w:val="00C441AE"/>
    <w:rsid w:val="00C56C82"/>
    <w:rsid w:val="00C67914"/>
    <w:rsid w:val="00C679C2"/>
    <w:rsid w:val="00C93D8E"/>
    <w:rsid w:val="00CB370F"/>
    <w:rsid w:val="00CB7B8B"/>
    <w:rsid w:val="00CC1176"/>
    <w:rsid w:val="00CD471E"/>
    <w:rsid w:val="00CE4A21"/>
    <w:rsid w:val="00CE51A8"/>
    <w:rsid w:val="00CF2302"/>
    <w:rsid w:val="00CF3BB3"/>
    <w:rsid w:val="00CF7E0B"/>
    <w:rsid w:val="00D015E9"/>
    <w:rsid w:val="00D23E4F"/>
    <w:rsid w:val="00D33E60"/>
    <w:rsid w:val="00D354E7"/>
    <w:rsid w:val="00D5261C"/>
    <w:rsid w:val="00D558D6"/>
    <w:rsid w:val="00D617BF"/>
    <w:rsid w:val="00D73D91"/>
    <w:rsid w:val="00D80AA1"/>
    <w:rsid w:val="00DA2FE0"/>
    <w:rsid w:val="00DB3A38"/>
    <w:rsid w:val="00DB3B45"/>
    <w:rsid w:val="00DB5F92"/>
    <w:rsid w:val="00DB7A9B"/>
    <w:rsid w:val="00DD5B06"/>
    <w:rsid w:val="00DD6EE5"/>
    <w:rsid w:val="00DE3C99"/>
    <w:rsid w:val="00E0488C"/>
    <w:rsid w:val="00E058C5"/>
    <w:rsid w:val="00E1272C"/>
    <w:rsid w:val="00E12E83"/>
    <w:rsid w:val="00E22BEA"/>
    <w:rsid w:val="00E27581"/>
    <w:rsid w:val="00E42E06"/>
    <w:rsid w:val="00E54BF6"/>
    <w:rsid w:val="00E5731B"/>
    <w:rsid w:val="00E7619F"/>
    <w:rsid w:val="00E850EE"/>
    <w:rsid w:val="00E91511"/>
    <w:rsid w:val="00E96FE0"/>
    <w:rsid w:val="00EA4AB5"/>
    <w:rsid w:val="00EA6439"/>
    <w:rsid w:val="00EC211A"/>
    <w:rsid w:val="00EC4BBC"/>
    <w:rsid w:val="00ED0321"/>
    <w:rsid w:val="00ED13D5"/>
    <w:rsid w:val="00ED7690"/>
    <w:rsid w:val="00EE3C5E"/>
    <w:rsid w:val="00EF6104"/>
    <w:rsid w:val="00F04195"/>
    <w:rsid w:val="00F12DDA"/>
    <w:rsid w:val="00F27E35"/>
    <w:rsid w:val="00F41323"/>
    <w:rsid w:val="00F532BD"/>
    <w:rsid w:val="00F5687C"/>
    <w:rsid w:val="00F57F37"/>
    <w:rsid w:val="00F7501F"/>
    <w:rsid w:val="00F76970"/>
    <w:rsid w:val="00F9139D"/>
    <w:rsid w:val="00FB354D"/>
    <w:rsid w:val="00FB4949"/>
    <w:rsid w:val="00FE1AD3"/>
    <w:rsid w:val="00FE4B41"/>
    <w:rsid w:val="00FF1C23"/>
    <w:rsid w:val="00FF464B"/>
    <w:rsid w:val="138C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4C8E02"/>
  <w14:defaultImageDpi w14:val="300"/>
  <w15:docId w15:val="{80105658-8D34-4F40-86A8-0D15C47E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AD7996"/>
    <w:pPr>
      <w:keepNext/>
      <w:widowControl/>
      <w:suppressAutoHyphens w:val="0"/>
      <w:autoSpaceDE w:val="0"/>
      <w:autoSpaceDN w:val="0"/>
      <w:adjustRightInd w:val="0"/>
      <w:spacing w:line="260" w:lineRule="exact"/>
      <w:jc w:val="both"/>
      <w:outlineLvl w:val="0"/>
    </w:pPr>
    <w:rPr>
      <w:b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styleId="Collegamentoipertestuale">
    <w:name w:val="Hyperlink"/>
    <w:rPr>
      <w:u w:val="single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Carpredefinito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pPr>
      <w:widowControl w:val="0"/>
      <w:tabs>
        <w:tab w:val="right" w:pos="9020"/>
      </w:tabs>
      <w:suppressAutoHyphens/>
    </w:pPr>
  </w:style>
  <w:style w:type="paragraph" w:customStyle="1" w:styleId="Didefault">
    <w:name w:val="Di default"/>
    <w:pPr>
      <w:widowControl w:val="0"/>
      <w:suppressAutoHyphens/>
    </w:pPr>
  </w:style>
  <w:style w:type="paragraph" w:styleId="NormaleWeb">
    <w:name w:val="Normal (Web)"/>
    <w:basedOn w:val="Normale"/>
    <w:uiPriority w:val="99"/>
    <w:pPr>
      <w:suppressAutoHyphens w:val="0"/>
      <w:spacing w:before="280" w:after="28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04A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51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D7996"/>
    <w:rPr>
      <w:b/>
      <w:sz w:val="24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5D62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D5B06"/>
    <w:rPr>
      <w:i/>
      <w:iCs/>
    </w:rPr>
  </w:style>
  <w:style w:type="paragraph" w:customStyle="1" w:styleId="paragraph">
    <w:name w:val="paragraph"/>
    <w:basedOn w:val="Normale"/>
    <w:rsid w:val="00DD5B06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Carpredefinitoparagrafo"/>
    <w:rsid w:val="00DD5B06"/>
  </w:style>
  <w:style w:type="character" w:customStyle="1" w:styleId="eop">
    <w:name w:val="eop"/>
    <w:basedOn w:val="Carpredefinitoparagrafo"/>
    <w:rsid w:val="00DD5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1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0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7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3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6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05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1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0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3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ni.it/eventi/disegni-di-giambattista-piranesi-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ini.it/eventi/le-arti-di-piranesi-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683F3-EEFC-3143-9858-F3AE719C9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Venezia, Campo San Vio, Dorsoduro 864</dc:title>
  <dc:subject/>
  <dc:creator>Giorgio</dc:creator>
  <cp:keywords/>
  <cp:lastModifiedBy>giovanna aliprandi</cp:lastModifiedBy>
  <cp:revision>14</cp:revision>
  <cp:lastPrinted>2020-02-03T11:25:00Z</cp:lastPrinted>
  <dcterms:created xsi:type="dcterms:W3CDTF">2020-05-29T10:26:00Z</dcterms:created>
  <dcterms:modified xsi:type="dcterms:W3CDTF">2021-05-24T09:29:00Z</dcterms:modified>
</cp:coreProperties>
</file>