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295164" w14:textId="0201F1F5" w:rsidR="00B11ACA" w:rsidRPr="009F39F3" w:rsidRDefault="009F39F3" w:rsidP="009F39F3">
      <w:pPr>
        <w:widowControl/>
        <w:ind w:right="-178"/>
        <w:jc w:val="left"/>
        <w:textAlignment w:val="auto"/>
        <w:rPr>
          <w:rFonts w:ascii="Garamond" w:hAnsi="Garamond"/>
          <w:b/>
          <w:sz w:val="42"/>
          <w:szCs w:val="42"/>
        </w:rPr>
      </w:pPr>
      <w:r>
        <w:rPr>
          <w:rFonts w:ascii="Garamond" w:hAnsi="Garamond"/>
          <w:b/>
          <w:sz w:val="42"/>
          <w:szCs w:val="42"/>
        </w:rPr>
        <w:t xml:space="preserve">Il Teatro Verde, meraviglioso </w:t>
      </w:r>
      <w:r w:rsidR="001267E2" w:rsidRPr="009F39F3">
        <w:rPr>
          <w:rFonts w:ascii="Garamond" w:hAnsi="Garamond"/>
          <w:b/>
          <w:sz w:val="42"/>
          <w:szCs w:val="42"/>
        </w:rPr>
        <w:t>palcoscenico</w:t>
      </w:r>
    </w:p>
    <w:p w14:paraId="0C342326" w14:textId="77777777" w:rsidR="00B11ACA" w:rsidRPr="009F39F3" w:rsidRDefault="00B11ACA" w:rsidP="00B11ACA">
      <w:pPr>
        <w:widowControl/>
        <w:textAlignment w:val="auto"/>
        <w:rPr>
          <w:rFonts w:ascii="Garamond" w:hAnsi="Garamond"/>
          <w:b/>
          <w:bCs/>
          <w:sz w:val="22"/>
        </w:rPr>
      </w:pPr>
    </w:p>
    <w:p w14:paraId="5DA415D5" w14:textId="68F8FF64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>Sul palcoscenico del Teatro Verde si sono alternate, dal 195</w:t>
      </w:r>
      <w:r w:rsidR="00423C28" w:rsidRPr="009F39F3">
        <w:rPr>
          <w:rFonts w:ascii="Garamond" w:hAnsi="Garamond"/>
          <w:sz w:val="22"/>
        </w:rPr>
        <w:t>4</w:t>
      </w:r>
      <w:r w:rsidRPr="009F39F3">
        <w:rPr>
          <w:rFonts w:ascii="Garamond" w:hAnsi="Garamond"/>
          <w:sz w:val="22"/>
        </w:rPr>
        <w:t xml:space="preserve"> in poi, eccezionali rappresentazioni d'arte performativa inaugurate con un sacro testo, «Resurrezione e vita», su musiche veneziane rinascimentali, grandiosamente e nobilmente coreografico. Seguirono l'anno stesso, l'«Arianna» di Benedetto Marcello, mai prima eseguita come melodramma, due concerti sinfonici diretti da Dimitri </w:t>
      </w:r>
      <w:proofErr w:type="spellStart"/>
      <w:r w:rsidRPr="009F39F3">
        <w:rPr>
          <w:rFonts w:ascii="Garamond" w:hAnsi="Garamond"/>
          <w:sz w:val="22"/>
        </w:rPr>
        <w:t>Mitropoulos</w:t>
      </w:r>
      <w:proofErr w:type="spellEnd"/>
      <w:r w:rsidRPr="009F39F3">
        <w:rPr>
          <w:rFonts w:ascii="Garamond" w:hAnsi="Garamond"/>
          <w:sz w:val="22"/>
        </w:rPr>
        <w:t>, le «Baruffe Chiozzotte» di Goldoni e una serie di «</w:t>
      </w:r>
      <w:proofErr w:type="spellStart"/>
      <w:r w:rsidRPr="009F39F3">
        <w:rPr>
          <w:rFonts w:ascii="Garamond" w:hAnsi="Garamond"/>
          <w:sz w:val="22"/>
        </w:rPr>
        <w:t>Nô</w:t>
      </w:r>
      <w:proofErr w:type="spellEnd"/>
      <w:r w:rsidRPr="009F39F3">
        <w:rPr>
          <w:rFonts w:ascii="Garamond" w:hAnsi="Garamond"/>
          <w:sz w:val="22"/>
        </w:rPr>
        <w:t xml:space="preserve">» giapponesi. Negli anni seguenti si sono succeduti il Teatro di Atene con l'«Ecuba» di Euripide e l'«Edipo Re» di Sofocle, il </w:t>
      </w:r>
      <w:proofErr w:type="spellStart"/>
      <w:r w:rsidRPr="009F39F3">
        <w:rPr>
          <w:rFonts w:ascii="Garamond" w:hAnsi="Garamond"/>
          <w:sz w:val="22"/>
        </w:rPr>
        <w:t>Théàtre</w:t>
      </w:r>
      <w:proofErr w:type="spellEnd"/>
      <w:r w:rsidRPr="009F39F3">
        <w:rPr>
          <w:rFonts w:ascii="Garamond" w:hAnsi="Garamond"/>
          <w:sz w:val="22"/>
        </w:rPr>
        <w:t xml:space="preserve"> </w:t>
      </w:r>
      <w:proofErr w:type="spellStart"/>
      <w:r w:rsidRPr="009F39F3">
        <w:rPr>
          <w:rFonts w:ascii="Garamond" w:hAnsi="Garamond"/>
          <w:sz w:val="22"/>
        </w:rPr>
        <w:t>populaire</w:t>
      </w:r>
      <w:proofErr w:type="spellEnd"/>
      <w:r w:rsidRPr="009F39F3">
        <w:rPr>
          <w:rFonts w:ascii="Garamond" w:hAnsi="Garamond"/>
          <w:sz w:val="22"/>
        </w:rPr>
        <w:t xml:space="preserve"> de France, con il «Don Juan» di Molière e la «Ville» di </w:t>
      </w:r>
      <w:proofErr w:type="spellStart"/>
      <w:r w:rsidRPr="009F39F3">
        <w:rPr>
          <w:rFonts w:ascii="Garamond" w:hAnsi="Garamond"/>
          <w:sz w:val="22"/>
        </w:rPr>
        <w:t>Claudel</w:t>
      </w:r>
      <w:proofErr w:type="spellEnd"/>
      <w:r w:rsidRPr="009F39F3">
        <w:rPr>
          <w:rFonts w:ascii="Garamond" w:hAnsi="Garamond"/>
          <w:sz w:val="22"/>
        </w:rPr>
        <w:t xml:space="preserve">, la Compagnia di Annie </w:t>
      </w:r>
      <w:proofErr w:type="spellStart"/>
      <w:r w:rsidRPr="009F39F3">
        <w:rPr>
          <w:rFonts w:ascii="Garamond" w:hAnsi="Garamond"/>
          <w:sz w:val="22"/>
        </w:rPr>
        <w:t>Ducaux</w:t>
      </w:r>
      <w:proofErr w:type="spellEnd"/>
      <w:r w:rsidRPr="009F39F3">
        <w:rPr>
          <w:rFonts w:ascii="Garamond" w:hAnsi="Garamond"/>
          <w:sz w:val="22"/>
        </w:rPr>
        <w:t xml:space="preserve"> con la «</w:t>
      </w:r>
      <w:proofErr w:type="spellStart"/>
      <w:r w:rsidRPr="009F39F3">
        <w:rPr>
          <w:rFonts w:ascii="Garamond" w:hAnsi="Garamond"/>
          <w:sz w:val="22"/>
        </w:rPr>
        <w:t>Bérénice</w:t>
      </w:r>
      <w:proofErr w:type="spellEnd"/>
      <w:r w:rsidRPr="009F39F3">
        <w:rPr>
          <w:rFonts w:ascii="Garamond" w:hAnsi="Garamond"/>
          <w:sz w:val="22"/>
        </w:rPr>
        <w:t xml:space="preserve">» di </w:t>
      </w:r>
      <w:proofErr w:type="spellStart"/>
      <w:r w:rsidRPr="009F39F3">
        <w:rPr>
          <w:rFonts w:ascii="Garamond" w:hAnsi="Garamond"/>
          <w:sz w:val="22"/>
        </w:rPr>
        <w:t>Racine</w:t>
      </w:r>
      <w:proofErr w:type="spellEnd"/>
      <w:r w:rsidRPr="009F39F3">
        <w:rPr>
          <w:rFonts w:ascii="Garamond" w:hAnsi="Garamond"/>
          <w:sz w:val="22"/>
        </w:rPr>
        <w:t xml:space="preserve">, e quella dell'Oxford </w:t>
      </w:r>
      <w:proofErr w:type="spellStart"/>
      <w:r w:rsidRPr="009F39F3">
        <w:rPr>
          <w:rFonts w:ascii="Garamond" w:hAnsi="Garamond"/>
          <w:sz w:val="22"/>
        </w:rPr>
        <w:t>Playhouse</w:t>
      </w:r>
      <w:proofErr w:type="spellEnd"/>
      <w:r w:rsidRPr="009F39F3">
        <w:rPr>
          <w:rFonts w:ascii="Garamond" w:hAnsi="Garamond"/>
          <w:sz w:val="22"/>
        </w:rPr>
        <w:t xml:space="preserve"> con « Il sogno di una notte di mezza estate» di Shakespeare, e compagnie italiane con «La </w:t>
      </w:r>
      <w:proofErr w:type="spellStart"/>
      <w:r w:rsidRPr="009F39F3">
        <w:rPr>
          <w:rFonts w:ascii="Garamond" w:hAnsi="Garamond"/>
          <w:sz w:val="22"/>
        </w:rPr>
        <w:t>Moscheta</w:t>
      </w:r>
      <w:proofErr w:type="spellEnd"/>
      <w:r w:rsidRPr="009F39F3">
        <w:rPr>
          <w:rFonts w:ascii="Garamond" w:hAnsi="Garamond"/>
          <w:sz w:val="22"/>
        </w:rPr>
        <w:t xml:space="preserve">» di Ruzzante, il «Campiello» e «I </w:t>
      </w:r>
      <w:proofErr w:type="spellStart"/>
      <w:r w:rsidRPr="009F39F3">
        <w:rPr>
          <w:rFonts w:ascii="Garamond" w:hAnsi="Garamond"/>
          <w:sz w:val="22"/>
        </w:rPr>
        <w:t>chiassetti</w:t>
      </w:r>
      <w:proofErr w:type="spellEnd"/>
      <w:r w:rsidRPr="009F39F3">
        <w:rPr>
          <w:rFonts w:ascii="Garamond" w:hAnsi="Garamond"/>
          <w:sz w:val="22"/>
        </w:rPr>
        <w:t xml:space="preserve"> del </w:t>
      </w:r>
      <w:proofErr w:type="spellStart"/>
      <w:r w:rsidRPr="009F39F3">
        <w:rPr>
          <w:rFonts w:ascii="Garamond" w:hAnsi="Garamond"/>
          <w:sz w:val="22"/>
        </w:rPr>
        <w:t>Carneval</w:t>
      </w:r>
      <w:proofErr w:type="spellEnd"/>
      <w:r w:rsidRPr="009F39F3">
        <w:rPr>
          <w:rFonts w:ascii="Garamond" w:hAnsi="Garamond"/>
          <w:sz w:val="22"/>
        </w:rPr>
        <w:t xml:space="preserve">» di Goldoni, e complessi per l'esecuzione della «Serva padrona» di Pergolesi, del «Filosofo di campagna» di </w:t>
      </w:r>
      <w:proofErr w:type="spellStart"/>
      <w:r w:rsidRPr="009F39F3">
        <w:rPr>
          <w:rFonts w:ascii="Garamond" w:hAnsi="Garamond"/>
          <w:sz w:val="22"/>
        </w:rPr>
        <w:t>Galuppi</w:t>
      </w:r>
      <w:proofErr w:type="spellEnd"/>
      <w:r w:rsidRPr="009F39F3">
        <w:rPr>
          <w:rFonts w:ascii="Garamond" w:hAnsi="Garamond"/>
          <w:sz w:val="22"/>
        </w:rPr>
        <w:t xml:space="preserve">, del «Mercato di Malmantile» di </w:t>
      </w:r>
      <w:proofErr w:type="spellStart"/>
      <w:r w:rsidRPr="009F39F3">
        <w:rPr>
          <w:rFonts w:ascii="Garamond" w:hAnsi="Garamond"/>
          <w:sz w:val="22"/>
        </w:rPr>
        <w:t>Cimarosa</w:t>
      </w:r>
      <w:proofErr w:type="spellEnd"/>
      <w:r w:rsidRPr="009F39F3">
        <w:rPr>
          <w:rFonts w:ascii="Garamond" w:hAnsi="Garamond"/>
          <w:sz w:val="22"/>
        </w:rPr>
        <w:t xml:space="preserve">, della «Carmen» di Bizet, e il corpo di ballo della Scala con il balletto di «Romeo e Giulietta» di </w:t>
      </w:r>
      <w:proofErr w:type="spellStart"/>
      <w:r w:rsidRPr="009F39F3">
        <w:rPr>
          <w:rFonts w:ascii="Garamond" w:hAnsi="Garamond"/>
          <w:sz w:val="22"/>
        </w:rPr>
        <w:t>Prokofief</w:t>
      </w:r>
      <w:proofErr w:type="spellEnd"/>
      <w:r w:rsidRPr="009F39F3">
        <w:rPr>
          <w:rFonts w:ascii="Garamond" w:hAnsi="Garamond"/>
          <w:sz w:val="22"/>
        </w:rPr>
        <w:t>.</w:t>
      </w:r>
    </w:p>
    <w:p w14:paraId="71892EA2" w14:textId="77777777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bookmarkStart w:id="0" w:name="_GoBack"/>
      <w:bookmarkEnd w:id="0"/>
    </w:p>
    <w:p w14:paraId="7AE67400" w14:textId="77777777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>Nella primavera del 1999 una convenzione tra la Fondazione Cini e La Biennale di Venezia - che ha finanziato una prima parte del restauro della struttura e i nuovi impianti tecnologici - ha consentito, dopo quasi 25 anni, la riapertura al pubblico del Teatro Verde.</w:t>
      </w:r>
    </w:p>
    <w:p w14:paraId="75FD2C37" w14:textId="69110625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>La nuova inaugurazione si è tenuta il 30 e 31 luglio</w:t>
      </w:r>
      <w:r w:rsidR="00423C28" w:rsidRPr="009F39F3">
        <w:rPr>
          <w:rFonts w:ascii="Garamond" w:hAnsi="Garamond"/>
          <w:sz w:val="22"/>
        </w:rPr>
        <w:t xml:space="preserve"> dello stesso anno</w:t>
      </w:r>
      <w:r w:rsidRPr="009F39F3">
        <w:rPr>
          <w:rFonts w:ascii="Garamond" w:hAnsi="Garamond"/>
          <w:sz w:val="22"/>
        </w:rPr>
        <w:t xml:space="preserve"> con lo spettacolo </w:t>
      </w:r>
      <w:r w:rsidR="00423C28" w:rsidRPr="009F39F3">
        <w:rPr>
          <w:rFonts w:ascii="Garamond" w:hAnsi="Garamond"/>
          <w:sz w:val="22"/>
        </w:rPr>
        <w:t>“</w:t>
      </w:r>
      <w:r w:rsidRPr="009F39F3">
        <w:rPr>
          <w:rFonts w:ascii="Garamond" w:hAnsi="Garamond"/>
          <w:sz w:val="22"/>
        </w:rPr>
        <w:t>Parabola</w:t>
      </w:r>
      <w:r w:rsidR="00423C28" w:rsidRPr="009F39F3">
        <w:rPr>
          <w:rFonts w:ascii="Garamond" w:hAnsi="Garamond"/>
          <w:sz w:val="22"/>
        </w:rPr>
        <w:t>”</w:t>
      </w:r>
      <w:r w:rsidRPr="009F39F3">
        <w:rPr>
          <w:rFonts w:ascii="Garamond" w:hAnsi="Garamond"/>
          <w:sz w:val="22"/>
        </w:rPr>
        <w:t xml:space="preserve"> di Carolyn </w:t>
      </w:r>
      <w:proofErr w:type="spellStart"/>
      <w:r w:rsidRPr="009F39F3">
        <w:rPr>
          <w:rFonts w:ascii="Garamond" w:hAnsi="Garamond"/>
          <w:sz w:val="22"/>
        </w:rPr>
        <w:t>Carlson</w:t>
      </w:r>
      <w:proofErr w:type="spellEnd"/>
      <w:r w:rsidRPr="009F39F3">
        <w:rPr>
          <w:rFonts w:ascii="Garamond" w:hAnsi="Garamond"/>
          <w:sz w:val="22"/>
        </w:rPr>
        <w:t xml:space="preserve">. In </w:t>
      </w:r>
      <w:r w:rsidR="00423C28" w:rsidRPr="009F39F3">
        <w:rPr>
          <w:rFonts w:ascii="Garamond" w:hAnsi="Garamond"/>
          <w:sz w:val="22"/>
        </w:rPr>
        <w:t>“</w:t>
      </w:r>
      <w:r w:rsidRPr="009F39F3">
        <w:rPr>
          <w:rFonts w:ascii="Garamond" w:hAnsi="Garamond"/>
          <w:sz w:val="22"/>
        </w:rPr>
        <w:t>Parabola</w:t>
      </w:r>
      <w:r w:rsidR="00423C28" w:rsidRPr="009F39F3">
        <w:rPr>
          <w:rFonts w:ascii="Garamond" w:hAnsi="Garamond"/>
          <w:sz w:val="22"/>
        </w:rPr>
        <w:t>”</w:t>
      </w:r>
      <w:r w:rsidRPr="009F39F3">
        <w:rPr>
          <w:rFonts w:ascii="Garamond" w:hAnsi="Garamond"/>
          <w:sz w:val="22"/>
        </w:rPr>
        <w:t xml:space="preserve"> l'elemento acqueo </w:t>
      </w:r>
      <w:r w:rsidR="00423C28" w:rsidRPr="009F39F3">
        <w:rPr>
          <w:rFonts w:ascii="Garamond" w:hAnsi="Garamond"/>
          <w:sz w:val="22"/>
        </w:rPr>
        <w:t>finì</w:t>
      </w:r>
      <w:r w:rsidRPr="009F39F3">
        <w:rPr>
          <w:rFonts w:ascii="Garamond" w:hAnsi="Garamond"/>
          <w:sz w:val="22"/>
        </w:rPr>
        <w:t xml:space="preserve"> per invadere lo spazio materiale, per ricollegarsi alla sorgente lagunare: come un'onda che viene, si gonfia, si frange e si dissolve in moto perpetuo.</w:t>
      </w:r>
    </w:p>
    <w:p w14:paraId="0C9642E1" w14:textId="77777777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</w:p>
    <w:p w14:paraId="748952B0" w14:textId="403AB9AB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 xml:space="preserve">Il 2000 ha consolidato il rilancio dello spazio scenico della Fondazione e l'intesa con la Biennale; il tema conduttore del settore è </w:t>
      </w:r>
      <w:r w:rsidR="00423C28" w:rsidRPr="009F39F3">
        <w:rPr>
          <w:rFonts w:ascii="Garamond" w:hAnsi="Garamond"/>
          <w:sz w:val="22"/>
        </w:rPr>
        <w:t>stato</w:t>
      </w:r>
      <w:r w:rsidRPr="009F39F3">
        <w:rPr>
          <w:rFonts w:ascii="Garamond" w:hAnsi="Garamond"/>
          <w:sz w:val="22"/>
        </w:rPr>
        <w:t xml:space="preserve"> la danza come arte del rito, uno sguardo retrospettivo teso a visitare le cerimonie e le liturgie, sacre e profane, di più aree del mondo. L'idea </w:t>
      </w:r>
      <w:r w:rsidR="00423C28" w:rsidRPr="009F39F3">
        <w:rPr>
          <w:rFonts w:ascii="Garamond" w:hAnsi="Garamond"/>
          <w:sz w:val="22"/>
        </w:rPr>
        <w:t>era</w:t>
      </w:r>
      <w:r w:rsidRPr="009F39F3">
        <w:rPr>
          <w:rFonts w:ascii="Garamond" w:hAnsi="Garamond"/>
          <w:sz w:val="22"/>
        </w:rPr>
        <w:t xml:space="preserve"> quella di porre a confronto arcaicità e contemporaneità: si è cominciato con </w:t>
      </w:r>
      <w:proofErr w:type="spellStart"/>
      <w:r w:rsidRPr="009F39F3">
        <w:rPr>
          <w:rFonts w:ascii="Garamond" w:hAnsi="Garamond"/>
          <w:sz w:val="22"/>
        </w:rPr>
        <w:t>Unetsu</w:t>
      </w:r>
      <w:proofErr w:type="spellEnd"/>
      <w:r w:rsidRPr="009F39F3">
        <w:rPr>
          <w:rFonts w:ascii="Garamond" w:hAnsi="Garamond"/>
          <w:sz w:val="22"/>
        </w:rPr>
        <w:t xml:space="preserve">, una visitazione onirica del buto giapponese, operata dal gruppo </w:t>
      </w:r>
      <w:proofErr w:type="spellStart"/>
      <w:r w:rsidRPr="009F39F3">
        <w:rPr>
          <w:rFonts w:ascii="Garamond" w:hAnsi="Garamond"/>
          <w:sz w:val="22"/>
        </w:rPr>
        <w:t>Sankai</w:t>
      </w:r>
      <w:proofErr w:type="spellEnd"/>
      <w:r w:rsidRPr="009F39F3">
        <w:rPr>
          <w:rFonts w:ascii="Garamond" w:hAnsi="Garamond"/>
          <w:sz w:val="22"/>
        </w:rPr>
        <w:t xml:space="preserve"> </w:t>
      </w:r>
      <w:proofErr w:type="spellStart"/>
      <w:r w:rsidRPr="009F39F3">
        <w:rPr>
          <w:rFonts w:ascii="Garamond" w:hAnsi="Garamond"/>
          <w:sz w:val="22"/>
        </w:rPr>
        <w:t>Juku</w:t>
      </w:r>
      <w:proofErr w:type="spellEnd"/>
      <w:r w:rsidRPr="009F39F3">
        <w:rPr>
          <w:rFonts w:ascii="Garamond" w:hAnsi="Garamond"/>
          <w:sz w:val="22"/>
        </w:rPr>
        <w:t xml:space="preserve"> di Tokyo, fondato da </w:t>
      </w:r>
      <w:proofErr w:type="spellStart"/>
      <w:r w:rsidRPr="009F39F3">
        <w:rPr>
          <w:rFonts w:ascii="Garamond" w:hAnsi="Garamond"/>
          <w:sz w:val="22"/>
        </w:rPr>
        <w:t>Ushio</w:t>
      </w:r>
      <w:proofErr w:type="spellEnd"/>
      <w:r w:rsidRPr="009F39F3">
        <w:rPr>
          <w:rFonts w:ascii="Garamond" w:hAnsi="Garamond"/>
          <w:sz w:val="22"/>
        </w:rPr>
        <w:t xml:space="preserve"> </w:t>
      </w:r>
      <w:proofErr w:type="spellStart"/>
      <w:r w:rsidRPr="009F39F3">
        <w:rPr>
          <w:rFonts w:ascii="Garamond" w:hAnsi="Garamond"/>
          <w:sz w:val="22"/>
        </w:rPr>
        <w:t>Amagatsu</w:t>
      </w:r>
      <w:proofErr w:type="spellEnd"/>
      <w:r w:rsidRPr="009F39F3">
        <w:rPr>
          <w:rFonts w:ascii="Garamond" w:hAnsi="Garamond"/>
          <w:sz w:val="22"/>
        </w:rPr>
        <w:t xml:space="preserve">. Un altro tuffo nell'antichità nipponica si è avuto con il gruppo di musici e danzatori </w:t>
      </w:r>
      <w:proofErr w:type="spellStart"/>
      <w:r w:rsidRPr="009F39F3">
        <w:rPr>
          <w:rFonts w:ascii="Garamond" w:hAnsi="Garamond"/>
          <w:sz w:val="22"/>
        </w:rPr>
        <w:t>Kodò</w:t>
      </w:r>
      <w:proofErr w:type="spellEnd"/>
      <w:r w:rsidRPr="009F39F3">
        <w:rPr>
          <w:rFonts w:ascii="Garamond" w:hAnsi="Garamond"/>
          <w:sz w:val="22"/>
        </w:rPr>
        <w:t>, i quali elabora</w:t>
      </w:r>
      <w:r w:rsidR="00423C28" w:rsidRPr="009F39F3">
        <w:rPr>
          <w:rFonts w:ascii="Garamond" w:hAnsi="Garamond"/>
          <w:sz w:val="22"/>
        </w:rPr>
        <w:t>ro</w:t>
      </w:r>
      <w:r w:rsidRPr="009F39F3">
        <w:rPr>
          <w:rFonts w:ascii="Garamond" w:hAnsi="Garamond"/>
          <w:sz w:val="22"/>
        </w:rPr>
        <w:t>no secondo schemi rituali le possibili</w:t>
      </w:r>
      <w:r w:rsidR="00423C28" w:rsidRPr="009F39F3">
        <w:rPr>
          <w:rFonts w:ascii="Garamond" w:hAnsi="Garamond"/>
          <w:sz w:val="22"/>
        </w:rPr>
        <w:t xml:space="preserve">tà descrittive del corpo umano </w:t>
      </w:r>
      <w:r w:rsidRPr="009F39F3">
        <w:rPr>
          <w:rFonts w:ascii="Garamond" w:hAnsi="Garamond"/>
          <w:sz w:val="22"/>
        </w:rPr>
        <w:t xml:space="preserve">affidandosi alla percussione del </w:t>
      </w:r>
      <w:proofErr w:type="spellStart"/>
      <w:r w:rsidRPr="009F39F3">
        <w:rPr>
          <w:rFonts w:ascii="Garamond" w:hAnsi="Garamond"/>
          <w:sz w:val="22"/>
        </w:rPr>
        <w:t>taiko</w:t>
      </w:r>
      <w:proofErr w:type="spellEnd"/>
      <w:r w:rsidRPr="009F39F3">
        <w:rPr>
          <w:rFonts w:ascii="Garamond" w:hAnsi="Garamond"/>
          <w:sz w:val="22"/>
        </w:rPr>
        <w:t>, un tamburo tradizionale.</w:t>
      </w:r>
    </w:p>
    <w:p w14:paraId="6CB8C9F6" w14:textId="0A9E4352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>Infine la cultura tibetana con Le danze sacre dei monaci tibetani.</w:t>
      </w:r>
    </w:p>
    <w:p w14:paraId="0A1D734D" w14:textId="77777777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</w:p>
    <w:p w14:paraId="0828D815" w14:textId="0238E256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 xml:space="preserve">Per il 2001 un programma molto articolato di progetti, produzioni e prime assolute, dalle Danze Maori alle nuove creazioni dei più interessanti fenomeni della coreografia occidentale per finire con una riduzione teatrale di Edoardo Sanguineti </w:t>
      </w:r>
      <w:r w:rsidR="00423C28" w:rsidRPr="009F39F3">
        <w:rPr>
          <w:rFonts w:ascii="Garamond" w:hAnsi="Garamond"/>
          <w:sz w:val="22"/>
        </w:rPr>
        <w:t>“</w:t>
      </w:r>
      <w:r w:rsidRPr="009F39F3">
        <w:rPr>
          <w:rFonts w:ascii="Garamond" w:hAnsi="Garamond"/>
          <w:sz w:val="22"/>
        </w:rPr>
        <w:t>L'amore delle tre melarance</w:t>
      </w:r>
      <w:r w:rsidR="00423C28" w:rsidRPr="009F39F3">
        <w:rPr>
          <w:rFonts w:ascii="Garamond" w:hAnsi="Garamond"/>
          <w:sz w:val="22"/>
        </w:rPr>
        <w:t>”</w:t>
      </w:r>
      <w:r w:rsidRPr="009F39F3">
        <w:rPr>
          <w:rFonts w:ascii="Garamond" w:hAnsi="Garamond"/>
          <w:sz w:val="22"/>
        </w:rPr>
        <w:t xml:space="preserve"> di Carlo Gozzi.</w:t>
      </w:r>
    </w:p>
    <w:p w14:paraId="3CBAE040" w14:textId="77777777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</w:p>
    <w:p w14:paraId="21F65EE5" w14:textId="5A4A435E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>Nel 2002 compagnie internazionali</w:t>
      </w:r>
      <w:r w:rsidR="00423C28" w:rsidRPr="009F39F3">
        <w:rPr>
          <w:rFonts w:ascii="Garamond" w:hAnsi="Garamond"/>
          <w:sz w:val="22"/>
        </w:rPr>
        <w:t xml:space="preserve"> hanno</w:t>
      </w:r>
      <w:r w:rsidRPr="009F39F3">
        <w:rPr>
          <w:rFonts w:ascii="Garamond" w:hAnsi="Garamond"/>
          <w:sz w:val="22"/>
        </w:rPr>
        <w:t xml:space="preserve"> presentano alcuni dei più interessanti sviluppi e delle più innovative contaminazioni della danza contemporanea</w:t>
      </w:r>
      <w:r w:rsidR="00423C28" w:rsidRPr="009F39F3">
        <w:rPr>
          <w:rFonts w:ascii="Garamond" w:hAnsi="Garamond"/>
          <w:sz w:val="22"/>
        </w:rPr>
        <w:t>:</w:t>
      </w:r>
      <w:r w:rsidRPr="009F39F3">
        <w:rPr>
          <w:rFonts w:ascii="Garamond" w:hAnsi="Garamond"/>
          <w:sz w:val="22"/>
        </w:rPr>
        <w:t xml:space="preserve"> un originale sguardo rigorosamente "al maschile" sulla danza internazionale.</w:t>
      </w:r>
    </w:p>
    <w:p w14:paraId="03A332B0" w14:textId="6EC3C8BB" w:rsidR="001267E2" w:rsidRPr="009F39F3" w:rsidRDefault="00423C28" w:rsidP="001267E2">
      <w:pPr>
        <w:widowControl/>
        <w:textAlignment w:val="auto"/>
        <w:rPr>
          <w:rFonts w:ascii="Garamond" w:hAnsi="Garamond"/>
          <w:sz w:val="22"/>
        </w:rPr>
      </w:pPr>
      <w:r w:rsidRPr="009F39F3">
        <w:rPr>
          <w:rFonts w:ascii="Garamond" w:hAnsi="Garamond"/>
          <w:sz w:val="22"/>
        </w:rPr>
        <w:t>Anche</w:t>
      </w:r>
      <w:r w:rsidR="001267E2" w:rsidRPr="009F39F3">
        <w:rPr>
          <w:rFonts w:ascii="Garamond" w:hAnsi="Garamond"/>
          <w:sz w:val="22"/>
        </w:rPr>
        <w:t xml:space="preserve"> nel 2007, il Teatro è stato parzialmente restaurato e riattivato. Nel 2013-2014 è stato riaperto per gli spettacoli di</w:t>
      </w:r>
      <w:r w:rsidRPr="009F39F3">
        <w:rPr>
          <w:rFonts w:ascii="Garamond" w:hAnsi="Garamond"/>
          <w:sz w:val="22"/>
        </w:rPr>
        <w:t xml:space="preserve"> </w:t>
      </w:r>
      <w:r w:rsidR="00FF2F80" w:rsidRPr="009F39F3">
        <w:rPr>
          <w:rFonts w:ascii="Garamond" w:hAnsi="Garamond"/>
          <w:sz w:val="22"/>
        </w:rPr>
        <w:t xml:space="preserve">Ponderosa Music &amp; </w:t>
      </w:r>
      <w:proofErr w:type="spellStart"/>
      <w:r w:rsidR="00FF2F80" w:rsidRPr="009F39F3">
        <w:rPr>
          <w:rFonts w:ascii="Garamond" w:hAnsi="Garamond"/>
          <w:sz w:val="22"/>
        </w:rPr>
        <w:t>Arts</w:t>
      </w:r>
      <w:proofErr w:type="spellEnd"/>
      <w:r w:rsidR="00FF2F80" w:rsidRPr="009F39F3">
        <w:rPr>
          <w:rFonts w:ascii="Garamond" w:hAnsi="Garamond"/>
          <w:sz w:val="22"/>
        </w:rPr>
        <w:t xml:space="preserve"> </w:t>
      </w:r>
      <w:r w:rsidRPr="009F39F3">
        <w:rPr>
          <w:rFonts w:ascii="Garamond" w:hAnsi="Garamond"/>
          <w:sz w:val="22"/>
        </w:rPr>
        <w:t xml:space="preserve">grazie e </w:t>
      </w:r>
      <w:r w:rsidR="001267E2" w:rsidRPr="009F39F3">
        <w:rPr>
          <w:rFonts w:ascii="Garamond" w:hAnsi="Garamond"/>
          <w:sz w:val="22"/>
        </w:rPr>
        <w:t>in quel caso, a significativi lavori di ripristino e restauro.</w:t>
      </w:r>
    </w:p>
    <w:p w14:paraId="5FD33AA2" w14:textId="77777777" w:rsidR="001267E2" w:rsidRPr="009F39F3" w:rsidRDefault="001267E2" w:rsidP="001267E2">
      <w:pPr>
        <w:widowControl/>
        <w:textAlignment w:val="auto"/>
        <w:rPr>
          <w:rFonts w:ascii="Garamond" w:hAnsi="Garamond"/>
          <w:sz w:val="22"/>
        </w:rPr>
      </w:pPr>
    </w:p>
    <w:p w14:paraId="55CA0DC0" w14:textId="4040A56E" w:rsidR="00F174F9" w:rsidRPr="009F39F3" w:rsidRDefault="001267E2" w:rsidP="001267E2">
      <w:pPr>
        <w:widowControl/>
        <w:textAlignment w:val="auto"/>
        <w:rPr>
          <w:rFonts w:ascii="Garamond" w:eastAsia="Times New Roman" w:hAnsi="Garamond"/>
          <w:sz w:val="22"/>
        </w:rPr>
      </w:pPr>
      <w:r w:rsidRPr="009F39F3">
        <w:rPr>
          <w:rFonts w:ascii="Garamond" w:hAnsi="Garamond"/>
          <w:sz w:val="22"/>
        </w:rPr>
        <w:t xml:space="preserve">L’impegno alla valorizzazione del Teatro, ha portato a inserirlo tra “I Luoghi del Cuore” del FAI dal 2016 e </w:t>
      </w:r>
      <w:r w:rsidR="00423C28" w:rsidRPr="009F39F3">
        <w:rPr>
          <w:rFonts w:ascii="Garamond" w:hAnsi="Garamond"/>
          <w:sz w:val="22"/>
        </w:rPr>
        <w:t xml:space="preserve">anche </w:t>
      </w:r>
      <w:r w:rsidRPr="009F39F3">
        <w:rPr>
          <w:rFonts w:ascii="Garamond" w:hAnsi="Garamond"/>
          <w:sz w:val="22"/>
        </w:rPr>
        <w:t>in quella occasione furono organizzate delle visite guidate.</w:t>
      </w:r>
    </w:p>
    <w:sectPr w:rsidR="00F174F9" w:rsidRPr="009F3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23F8E" w14:textId="77777777" w:rsidR="00C107E1" w:rsidRDefault="00C107E1">
      <w:pPr>
        <w:spacing w:line="240" w:lineRule="auto"/>
      </w:pPr>
      <w:r>
        <w:separator/>
      </w:r>
    </w:p>
  </w:endnote>
  <w:endnote w:type="continuationSeparator" w:id="0">
    <w:p w14:paraId="541D82A5" w14:textId="77777777" w:rsidR="00C107E1" w:rsidRDefault="00C10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nley-Regular">
    <w:panose1 w:val="00000000000000000000"/>
    <w:charset w:val="00"/>
    <w:family w:val="roman"/>
    <w:notTrueType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37EEF" w14:textId="77777777" w:rsidR="00C107E1" w:rsidRDefault="00C107E1">
      <w:pPr>
        <w:spacing w:line="240" w:lineRule="auto"/>
      </w:pPr>
      <w:r>
        <w:separator/>
      </w:r>
    </w:p>
  </w:footnote>
  <w:footnote w:type="continuationSeparator" w:id="0">
    <w:p w14:paraId="037C1897" w14:textId="77777777" w:rsidR="00C107E1" w:rsidRDefault="00C10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F9"/>
    <w:rsid w:val="00030414"/>
    <w:rsid w:val="00060391"/>
    <w:rsid w:val="001267E2"/>
    <w:rsid w:val="00146CC2"/>
    <w:rsid w:val="001668E6"/>
    <w:rsid w:val="001D6A98"/>
    <w:rsid w:val="001E00C2"/>
    <w:rsid w:val="002077EB"/>
    <w:rsid w:val="002775C0"/>
    <w:rsid w:val="00353308"/>
    <w:rsid w:val="00367391"/>
    <w:rsid w:val="00423C28"/>
    <w:rsid w:val="00426BB0"/>
    <w:rsid w:val="005C205F"/>
    <w:rsid w:val="005C4BDF"/>
    <w:rsid w:val="0060228C"/>
    <w:rsid w:val="007047C3"/>
    <w:rsid w:val="00844F73"/>
    <w:rsid w:val="00953113"/>
    <w:rsid w:val="0098186C"/>
    <w:rsid w:val="009D4282"/>
    <w:rsid w:val="009D4C0D"/>
    <w:rsid w:val="009F39F3"/>
    <w:rsid w:val="00A310CA"/>
    <w:rsid w:val="00A36D66"/>
    <w:rsid w:val="00A9295B"/>
    <w:rsid w:val="00AE205D"/>
    <w:rsid w:val="00B067A3"/>
    <w:rsid w:val="00B11ACA"/>
    <w:rsid w:val="00B37092"/>
    <w:rsid w:val="00C107E1"/>
    <w:rsid w:val="00C94CF8"/>
    <w:rsid w:val="00E1502F"/>
    <w:rsid w:val="00E879C6"/>
    <w:rsid w:val="00F174F9"/>
    <w:rsid w:val="00F81913"/>
    <w:rsid w:val="00F849FE"/>
    <w:rsid w:val="00FE15D0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5</cp:revision>
  <cp:lastPrinted>2022-02-21T05:04:00Z</cp:lastPrinted>
  <dcterms:created xsi:type="dcterms:W3CDTF">2022-03-23T10:35:00Z</dcterms:created>
  <dcterms:modified xsi:type="dcterms:W3CDTF">2022-03-24T11:57:00Z</dcterms:modified>
</cp:coreProperties>
</file>