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A5A7" w14:textId="77777777" w:rsidR="00400C5D" w:rsidRPr="00400C5D" w:rsidRDefault="00400C5D" w:rsidP="00400C5D">
      <w:pPr>
        <w:spacing w:after="0" w:line="276" w:lineRule="auto"/>
        <w:jc w:val="both"/>
        <w:outlineLvl w:val="0"/>
        <w:rPr>
          <w:rFonts w:ascii="Garamond" w:eastAsia="Times New Roman" w:hAnsi="Garamond" w:cs="Times New Roman"/>
          <w:b/>
          <w:bCs/>
          <w:spacing w:val="-10"/>
          <w:kern w:val="36"/>
          <w:sz w:val="28"/>
          <w:szCs w:val="24"/>
          <w:lang w:eastAsia="it-IT"/>
        </w:rPr>
      </w:pPr>
      <w:bookmarkStart w:id="0" w:name="_GoBack"/>
      <w:bookmarkEnd w:id="0"/>
      <w:r w:rsidRPr="00400C5D">
        <w:rPr>
          <w:rFonts w:ascii="Garamond" w:eastAsia="Times New Roman" w:hAnsi="Garamond" w:cs="Times New Roman"/>
          <w:b/>
          <w:bCs/>
          <w:spacing w:val="-10"/>
          <w:kern w:val="36"/>
          <w:sz w:val="28"/>
          <w:szCs w:val="24"/>
          <w:lang w:eastAsia="it-IT"/>
        </w:rPr>
        <w:t>Vita e Opere di Gianfranco Folena</w:t>
      </w:r>
    </w:p>
    <w:p w14:paraId="537DBC9A" w14:textId="789098CB" w:rsidR="00400C5D" w:rsidRPr="00400C5D" w:rsidRDefault="00E52345" w:rsidP="00400C5D">
      <w:pPr>
        <w:spacing w:after="0" w:line="276" w:lineRule="auto"/>
        <w:jc w:val="both"/>
        <w:rPr>
          <w:rFonts w:ascii="Garamond" w:eastAsia="Times New Roman" w:hAnsi="Garamond" w:cs="Times New Roman"/>
          <w:sz w:val="24"/>
          <w:szCs w:val="24"/>
          <w:lang w:eastAsia="it-IT"/>
        </w:rPr>
      </w:pPr>
      <w:r w:rsidRPr="00E52345">
        <w:rPr>
          <w:rFonts w:ascii="Garamond" w:eastAsia="Times New Roman" w:hAnsi="Garamond" w:cs="Times New Roman"/>
          <w:sz w:val="24"/>
          <w:szCs w:val="24"/>
          <w:bdr w:val="none" w:sz="0" w:space="0" w:color="auto" w:frame="1"/>
          <w:lang w:eastAsia="it-IT"/>
        </w:rPr>
        <w:t>Estratto da</w:t>
      </w:r>
      <w:r w:rsidR="00400C5D" w:rsidRPr="00400C5D">
        <w:rPr>
          <w:rFonts w:ascii="Garamond" w:eastAsia="Times New Roman" w:hAnsi="Garamond" w:cs="Times New Roman"/>
          <w:i/>
          <w:iCs/>
          <w:sz w:val="24"/>
          <w:szCs w:val="24"/>
          <w:bdr w:val="none" w:sz="0" w:space="0" w:color="auto" w:frame="1"/>
          <w:lang w:eastAsia="it-IT"/>
        </w:rPr>
        <w:t xml:space="preserve"> Lorenzo Renzi – Dizionario Biografico degli Italiani – Volume 48 (1997)</w:t>
      </w:r>
    </w:p>
    <w:p w14:paraId="19B93DFC" w14:textId="489BC9B5" w:rsidR="00400C5D" w:rsidRPr="00400C5D" w:rsidRDefault="008A7B5D" w:rsidP="00400C5D">
      <w:pPr>
        <w:spacing w:after="0" w:line="276" w:lineRule="auto"/>
        <w:jc w:val="both"/>
        <w:rPr>
          <w:rFonts w:ascii="Garamond" w:eastAsia="Times New Roman" w:hAnsi="Garamond" w:cs="Times New Roman"/>
          <w:sz w:val="24"/>
          <w:szCs w:val="24"/>
          <w:lang w:eastAsia="it-IT"/>
        </w:rPr>
      </w:pPr>
      <w:r w:rsidRPr="008A7B5D">
        <w:rPr>
          <w:rFonts w:ascii="Garamond" w:eastAsia="Times New Roman" w:hAnsi="Garamond" w:cs="Times New Roman"/>
          <w:sz w:val="24"/>
          <w:szCs w:val="24"/>
          <w:u w:val="single"/>
          <w:lang w:eastAsia="it-IT"/>
        </w:rPr>
        <w:t>Fonte:</w:t>
      </w:r>
      <w:r>
        <w:rPr>
          <w:rFonts w:ascii="Garamond" w:eastAsia="Times New Roman" w:hAnsi="Garamond" w:cs="Times New Roman"/>
          <w:sz w:val="24"/>
          <w:szCs w:val="24"/>
          <w:lang w:eastAsia="it-IT"/>
        </w:rPr>
        <w:t xml:space="preserve"> sito istituzionale del </w:t>
      </w:r>
      <w:r w:rsidRPr="008A7B5D">
        <w:rPr>
          <w:rFonts w:ascii="Garamond" w:eastAsia="Times New Roman" w:hAnsi="Garamond" w:cs="Times New Roman"/>
          <w:sz w:val="24"/>
          <w:szCs w:val="24"/>
          <w:lang w:eastAsia="it-IT"/>
        </w:rPr>
        <w:t xml:space="preserve">Comitato nazionale per le celebrazioni del centenario della nascita di Gianfranco Folena </w:t>
      </w:r>
      <w:hyperlink r:id="rId7" w:history="1">
        <w:r w:rsidRPr="007C7148">
          <w:rPr>
            <w:rStyle w:val="Collegamentoipertestuale"/>
            <w:rFonts w:ascii="Garamond" w:eastAsia="Times New Roman" w:hAnsi="Garamond" w:cs="Times New Roman"/>
            <w:sz w:val="24"/>
            <w:szCs w:val="24"/>
            <w:lang w:eastAsia="it-IT"/>
          </w:rPr>
          <w:t>https://www.gianfrancofolena.it/</w:t>
        </w:r>
      </w:hyperlink>
      <w:r>
        <w:rPr>
          <w:rFonts w:ascii="Garamond" w:eastAsia="Times New Roman" w:hAnsi="Garamond" w:cs="Times New Roman"/>
          <w:sz w:val="24"/>
          <w:szCs w:val="24"/>
          <w:lang w:eastAsia="it-IT"/>
        </w:rPr>
        <w:t xml:space="preserve"> </w:t>
      </w:r>
    </w:p>
    <w:p w14:paraId="728B9E72" w14:textId="77777777" w:rsid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noProof/>
          <w:sz w:val="24"/>
          <w:szCs w:val="24"/>
          <w:lang w:eastAsia="it-IT"/>
        </w:rPr>
        <w:drawing>
          <wp:anchor distT="0" distB="0" distL="114300" distR="114300" simplePos="0" relativeHeight="251658240" behindDoc="1" locked="0" layoutInCell="1" allowOverlap="1" wp14:anchorId="2B022D5B" wp14:editId="0D92C8A4">
            <wp:simplePos x="0" y="0"/>
            <wp:positionH relativeFrom="column">
              <wp:posOffset>3810</wp:posOffset>
            </wp:positionH>
            <wp:positionV relativeFrom="paragraph">
              <wp:posOffset>194945</wp:posOffset>
            </wp:positionV>
            <wp:extent cx="2419200" cy="3009600"/>
            <wp:effectExtent l="0" t="0" r="635" b="635"/>
            <wp:wrapTight wrapText="bothSides">
              <wp:wrapPolygon edited="0">
                <wp:start x="0" y="0"/>
                <wp:lineTo x="0" y="21468"/>
                <wp:lineTo x="21436" y="21468"/>
                <wp:lineTo x="21436" y="0"/>
                <wp:lineTo x="0" y="0"/>
              </wp:wrapPolygon>
            </wp:wrapTight>
            <wp:docPr id="5" name="Immagine 5" descr="https://www.gianfrancofolena.it/wp-content/uploads/2020/04/Gianfranco_Fol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anfrancofolena.it/wp-content/uploads/2020/04/Gianfranco_Fole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200" cy="30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A7A91" w14:textId="7B5FB09F"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Gianfranco Folena nacque a Savigliano (Cuneo) il 9 aprile 1920 da Umberto e da Nora Alberti. Di famiglia toscana, si formò alla Scuola normale superiore di Pisa e all’università di Firenze. Interrotti gli studi, prese parte alla seconda guerra mondiale. Tornato da una lunga prigionia in India nel 1946, si laureò nello stesso anno con B</w:t>
      </w:r>
      <w:r w:rsidR="003265E7">
        <w:rPr>
          <w:rFonts w:ascii="Garamond" w:eastAsia="Times New Roman" w:hAnsi="Garamond" w:cs="Times New Roman"/>
          <w:sz w:val="24"/>
          <w:szCs w:val="24"/>
          <w:lang w:eastAsia="it-IT"/>
        </w:rPr>
        <w:t>runo</w:t>
      </w:r>
      <w:r w:rsidRPr="00400C5D">
        <w:rPr>
          <w:rFonts w:ascii="Garamond" w:eastAsia="Times New Roman" w:hAnsi="Garamond" w:cs="Times New Roman"/>
          <w:sz w:val="24"/>
          <w:szCs w:val="24"/>
          <w:lang w:eastAsia="it-IT"/>
        </w:rPr>
        <w:t xml:space="preserve"> Migliorini con una tesi poi edita con il titolo </w:t>
      </w:r>
      <w:r w:rsidRPr="00400C5D">
        <w:rPr>
          <w:rFonts w:ascii="Garamond" w:eastAsia="Times New Roman" w:hAnsi="Garamond" w:cs="Times New Roman"/>
          <w:i/>
          <w:iCs/>
          <w:sz w:val="24"/>
          <w:szCs w:val="24"/>
          <w:bdr w:val="none" w:sz="0" w:space="0" w:color="auto" w:frame="1"/>
          <w:lang w:eastAsia="it-IT"/>
        </w:rPr>
        <w:t>La crisi linguistica del Quattrocento e l’Arcadia del Sannazaro</w:t>
      </w:r>
      <w:r w:rsidRPr="00400C5D">
        <w:rPr>
          <w:rFonts w:ascii="Garamond" w:eastAsia="Times New Roman" w:hAnsi="Garamond" w:cs="Times New Roman"/>
          <w:sz w:val="24"/>
          <w:szCs w:val="24"/>
          <w:lang w:eastAsia="it-IT"/>
        </w:rPr>
        <w:t>, Firenze 1952. Tra i suoi maestri alla Normale ci furono L. Russo e G. Pasquali, a Firenze B. Migliorini e G. Devoto. Professore nei licei a Grosseto e Lucca, dal 1950 venne comandato all’Accademia della Crusca. Assistente all’università di Firenze, divenne libero docente di storia della lingua italiana nel 1954. Fu professore incaricato, sempre nel 1954, di storia della lingua italiana all’università di Padova; vincitore di concorso, diventò ordinario della stessa materia dal 1956. Dal 1957 al 1978 insegnò inoltre, sempre a Padova, filologia romanza.</w:t>
      </w:r>
    </w:p>
    <w:p w14:paraId="514CEFF4" w14:textId="094CFE5F"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Direttore dal 1959 della collana “Scrittori d’Italia” della casa editrice Laterza, membro di numerose istituzioni culturali e accademie, tra cui la Crusca e i Lincei, </w:t>
      </w:r>
      <w:r w:rsidRPr="00E52345">
        <w:rPr>
          <w:rFonts w:ascii="Garamond" w:eastAsia="Times New Roman" w:hAnsi="Garamond" w:cs="Times New Roman"/>
          <w:sz w:val="24"/>
          <w:szCs w:val="24"/>
          <w:lang w:eastAsia="it-IT"/>
        </w:rPr>
        <w:t xml:space="preserve">direttore </w:t>
      </w:r>
      <w:r w:rsidR="003265E7" w:rsidRPr="00E52345">
        <w:rPr>
          <w:rFonts w:ascii="Garamond" w:eastAsia="Times New Roman" w:hAnsi="Garamond" w:cs="Times New Roman"/>
          <w:sz w:val="24"/>
          <w:szCs w:val="24"/>
          <w:lang w:eastAsia="it-IT"/>
        </w:rPr>
        <w:t>dell’Istituto di Lettere, Musica e Teatro</w:t>
      </w:r>
      <w:r w:rsidRPr="00E52345">
        <w:rPr>
          <w:rFonts w:ascii="Garamond" w:eastAsia="Times New Roman" w:hAnsi="Garamond" w:cs="Times New Roman"/>
          <w:sz w:val="24"/>
          <w:szCs w:val="24"/>
          <w:lang w:eastAsia="it-IT"/>
        </w:rPr>
        <w:t xml:space="preserve"> della Fondazione </w:t>
      </w:r>
      <w:r w:rsidR="003265E7" w:rsidRPr="00E52345">
        <w:rPr>
          <w:rFonts w:ascii="Garamond" w:eastAsia="Times New Roman" w:hAnsi="Garamond" w:cs="Times New Roman"/>
          <w:sz w:val="24"/>
          <w:szCs w:val="24"/>
          <w:lang w:eastAsia="it-IT"/>
        </w:rPr>
        <w:t xml:space="preserve">Giorgio </w:t>
      </w:r>
      <w:r w:rsidRPr="00E52345">
        <w:rPr>
          <w:rFonts w:ascii="Garamond" w:eastAsia="Times New Roman" w:hAnsi="Garamond" w:cs="Times New Roman"/>
          <w:sz w:val="24"/>
          <w:szCs w:val="24"/>
          <w:lang w:eastAsia="it-IT"/>
        </w:rPr>
        <w:t>Cini a Venezia, fondò e diresse fino</w:t>
      </w:r>
      <w:r w:rsidRPr="00400C5D">
        <w:rPr>
          <w:rFonts w:ascii="Garamond" w:eastAsia="Times New Roman" w:hAnsi="Garamond" w:cs="Times New Roman"/>
          <w:sz w:val="24"/>
          <w:szCs w:val="24"/>
          <w:lang w:eastAsia="it-IT"/>
        </w:rPr>
        <w:t xml:space="preserve"> alla morte il Circolo filologico-linguistico padovano, seminario universitario per il dibattito culturale e la formazione di giovani filologi. Ideò e diresse dal 1970 il premio Città di Monselice per la traduzione letteraria. Diresse, da solo o con altri, le riviste </w:t>
      </w:r>
      <w:r w:rsidRPr="00400C5D">
        <w:rPr>
          <w:rFonts w:ascii="Garamond" w:eastAsia="Times New Roman" w:hAnsi="Garamond" w:cs="Times New Roman"/>
          <w:i/>
          <w:iCs/>
          <w:sz w:val="24"/>
          <w:szCs w:val="24"/>
          <w:bdr w:val="none" w:sz="0" w:space="0" w:color="auto" w:frame="1"/>
          <w:lang w:eastAsia="it-IT"/>
        </w:rPr>
        <w:t>Lingua nostra</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Giornale storico della letteratura italiana</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Medioevo romanzo</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Filologia veneta</w:t>
      </w:r>
      <w:r w:rsidRPr="00400C5D">
        <w:rPr>
          <w:rFonts w:ascii="Garamond" w:eastAsia="Times New Roman" w:hAnsi="Garamond" w:cs="Times New Roman"/>
          <w:sz w:val="24"/>
          <w:szCs w:val="24"/>
          <w:lang w:eastAsia="it-IT"/>
        </w:rPr>
        <w:t>.</w:t>
      </w:r>
    </w:p>
    <w:p w14:paraId="0F9E5768" w14:textId="77777777" w:rsidR="00400C5D" w:rsidRPr="00400C5D" w:rsidRDefault="00400C5D" w:rsidP="00400C5D">
      <w:pPr>
        <w:spacing w:after="0" w:line="276" w:lineRule="auto"/>
        <w:jc w:val="both"/>
        <w:rPr>
          <w:rFonts w:ascii="Garamond" w:eastAsia="Times New Roman" w:hAnsi="Garamond" w:cs="Times New Roman"/>
          <w:sz w:val="24"/>
          <w:szCs w:val="24"/>
          <w:lang w:eastAsia="it-IT"/>
        </w:rPr>
      </w:pPr>
    </w:p>
    <w:p w14:paraId="488BFC9C" w14:textId="12CE5006"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La produzione di Folena copre un ambito molto vasto: dalle origini della lingua italiana al Novecento. Fin dall’inizio, accanto a quello per il fiorentino e il toscano letterari, appare l’interesse per i grandi dialetti italiani: milanese, veneto, siciliano e altri, prima che fossero messi in ombra dal fiorentino. Mostrò inoltre </w:t>
      </w:r>
      <w:r w:rsidR="00691148" w:rsidRPr="00400C5D">
        <w:rPr>
          <w:rFonts w:ascii="Garamond" w:eastAsia="Times New Roman" w:hAnsi="Garamond" w:cs="Times New Roman"/>
          <w:sz w:val="24"/>
          <w:szCs w:val="24"/>
          <w:lang w:eastAsia="it-IT"/>
        </w:rPr>
        <w:t>un</w:t>
      </w:r>
      <w:r w:rsidR="00691148">
        <w:rPr>
          <w:rFonts w:ascii="Garamond" w:eastAsia="Times New Roman" w:hAnsi="Garamond" w:cs="Times New Roman"/>
          <w:sz w:val="24"/>
          <w:szCs w:val="24"/>
          <w:lang w:eastAsia="it-IT"/>
        </w:rPr>
        <w:t>’</w:t>
      </w:r>
      <w:r w:rsidR="00691148" w:rsidRPr="00400C5D">
        <w:rPr>
          <w:rFonts w:ascii="Garamond" w:eastAsia="Times New Roman" w:hAnsi="Garamond" w:cs="Times New Roman"/>
          <w:sz w:val="24"/>
          <w:szCs w:val="24"/>
          <w:lang w:eastAsia="it-IT"/>
        </w:rPr>
        <w:t>acuta</w:t>
      </w:r>
      <w:r w:rsidRPr="00400C5D">
        <w:rPr>
          <w:rFonts w:ascii="Garamond" w:eastAsia="Times New Roman" w:hAnsi="Garamond" w:cs="Times New Roman"/>
          <w:sz w:val="24"/>
          <w:szCs w:val="24"/>
          <w:lang w:eastAsia="it-IT"/>
        </w:rPr>
        <w:t xml:space="preserve"> curiosità per le manifestazioni di plurilinguismo letterario, a partire dal latino maccheronico. Sempre più, con il passare del tempo e l’avanzare della sua ricchissima produzione, i lavori di Folena appaiono studi di storia della cultura visti </w:t>
      </w:r>
      <w:r w:rsidRPr="00400C5D">
        <w:rPr>
          <w:rFonts w:ascii="Garamond" w:eastAsia="Times New Roman" w:hAnsi="Garamond" w:cs="Times New Roman"/>
          <w:i/>
          <w:iCs/>
          <w:sz w:val="24"/>
          <w:szCs w:val="24"/>
          <w:bdr w:val="none" w:sz="0" w:space="0" w:color="auto" w:frame="1"/>
          <w:lang w:eastAsia="it-IT"/>
        </w:rPr>
        <w:t xml:space="preserve">sub specie </w:t>
      </w:r>
      <w:r w:rsidRPr="00400C5D">
        <w:rPr>
          <w:rFonts w:ascii="Garamond" w:eastAsia="Times New Roman" w:hAnsi="Garamond" w:cs="Times New Roman"/>
          <w:sz w:val="24"/>
          <w:szCs w:val="24"/>
          <w:lang w:eastAsia="it-IT"/>
        </w:rPr>
        <w:t>linguistica.</w:t>
      </w:r>
    </w:p>
    <w:p w14:paraId="3D66BF9E" w14:textId="77777777"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Questo vale anche per i lavori più tecnici, come quelli dedicati all’onomastica storica fiorentina (1950 e 1956) e veneziana (1971), ambedue raccolti in </w:t>
      </w:r>
      <w:r w:rsidRPr="00400C5D">
        <w:rPr>
          <w:rFonts w:ascii="Garamond" w:eastAsia="Times New Roman" w:hAnsi="Garamond" w:cs="Times New Roman"/>
          <w:i/>
          <w:iCs/>
          <w:sz w:val="24"/>
          <w:szCs w:val="24"/>
          <w:bdr w:val="none" w:sz="0" w:space="0" w:color="auto" w:frame="1"/>
          <w:lang w:eastAsia="it-IT"/>
        </w:rPr>
        <w:t>Culture e lingue nel Veneto medievale</w:t>
      </w:r>
      <w:r w:rsidRPr="00400C5D">
        <w:rPr>
          <w:rFonts w:ascii="Garamond" w:eastAsia="Times New Roman" w:hAnsi="Garamond" w:cs="Times New Roman"/>
          <w:sz w:val="24"/>
          <w:szCs w:val="24"/>
          <w:lang w:eastAsia="it-IT"/>
        </w:rPr>
        <w:t xml:space="preserve">, Padova 1990, o alla terminologia della pittura del Rinascimento (1953 sul “chiaroscuro” leonardesco; 1983 su Tiziano), ai nomi dei pesci dall’umanesimo alla zoologia moderna (1963-64), al primo lessico americano in Colombo (1971-73), poi tutti ristampati in </w:t>
      </w:r>
      <w:r w:rsidRPr="00400C5D">
        <w:rPr>
          <w:rFonts w:ascii="Garamond" w:eastAsia="Times New Roman" w:hAnsi="Garamond" w:cs="Times New Roman"/>
          <w:i/>
          <w:iCs/>
          <w:sz w:val="24"/>
          <w:szCs w:val="24"/>
          <w:bdr w:val="none" w:sz="0" w:space="0" w:color="auto" w:frame="1"/>
          <w:lang w:eastAsia="it-IT"/>
        </w:rPr>
        <w:t>Il linguaggio del caos</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Studi sul plurilinguismo rinascimentale</w:t>
      </w:r>
      <w:r w:rsidRPr="00400C5D">
        <w:rPr>
          <w:rFonts w:ascii="Garamond" w:eastAsia="Times New Roman" w:hAnsi="Garamond" w:cs="Times New Roman"/>
          <w:sz w:val="24"/>
          <w:szCs w:val="24"/>
          <w:lang w:eastAsia="it-IT"/>
        </w:rPr>
        <w:t xml:space="preserve"> (Torino 1991), alla lingua della pubblicità come aspetto essenziale della civiltà contemporanea.</w:t>
      </w:r>
    </w:p>
    <w:p w14:paraId="29D1ED29" w14:textId="12C2D090" w:rsid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Esperto lessicografo, Folena dedicò le sue fatiche ai lessici del Ruzzante e di C. Goldoni (</w:t>
      </w:r>
      <w:r w:rsidRPr="00400C5D">
        <w:rPr>
          <w:rFonts w:ascii="Garamond" w:eastAsia="Times New Roman" w:hAnsi="Garamond" w:cs="Times New Roman"/>
          <w:i/>
          <w:iCs/>
          <w:sz w:val="24"/>
          <w:szCs w:val="24"/>
          <w:bdr w:val="none" w:sz="0" w:space="0" w:color="auto" w:frame="1"/>
          <w:lang w:eastAsia="it-IT"/>
        </w:rPr>
        <w:t>Vocabolario del veneziano del Goldoni</w:t>
      </w:r>
      <w:r w:rsidRPr="00400C5D">
        <w:rPr>
          <w:rFonts w:ascii="Garamond" w:eastAsia="Times New Roman" w:hAnsi="Garamond" w:cs="Times New Roman"/>
          <w:sz w:val="24"/>
          <w:szCs w:val="24"/>
          <w:lang w:eastAsia="it-IT"/>
        </w:rPr>
        <w:t xml:space="preserve">, a cura di D. Sacco – P. Borghesan, Roma 1993); la revisione del </w:t>
      </w:r>
      <w:r w:rsidRPr="00400C5D">
        <w:rPr>
          <w:rFonts w:ascii="Garamond" w:eastAsia="Times New Roman" w:hAnsi="Garamond" w:cs="Times New Roman"/>
          <w:i/>
          <w:iCs/>
          <w:sz w:val="24"/>
          <w:szCs w:val="24"/>
          <w:bdr w:val="none" w:sz="0" w:space="0" w:color="auto" w:frame="1"/>
          <w:lang w:eastAsia="it-IT"/>
        </w:rPr>
        <w:t xml:space="preserve">Dizionario della lingua italiana </w:t>
      </w:r>
      <w:r w:rsidRPr="00400C5D">
        <w:rPr>
          <w:rFonts w:ascii="Garamond" w:eastAsia="Times New Roman" w:hAnsi="Garamond" w:cs="Times New Roman"/>
          <w:sz w:val="24"/>
          <w:szCs w:val="24"/>
          <w:lang w:eastAsia="it-IT"/>
        </w:rPr>
        <w:t>di A. Palazzi, Torino 1992). Ha diretto con M. Deanovic i lavori dell’</w:t>
      </w:r>
      <w:r w:rsidRPr="00400C5D">
        <w:rPr>
          <w:rFonts w:ascii="Garamond" w:eastAsia="Times New Roman" w:hAnsi="Garamond" w:cs="Times New Roman"/>
          <w:i/>
          <w:iCs/>
          <w:sz w:val="24"/>
          <w:szCs w:val="24"/>
          <w:bdr w:val="none" w:sz="0" w:space="0" w:color="auto" w:frame="1"/>
          <w:lang w:eastAsia="it-IT"/>
        </w:rPr>
        <w:t>Atlante linguistico mediterraneo</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sz w:val="24"/>
          <w:szCs w:val="24"/>
          <w:lang w:eastAsia="it-IT"/>
        </w:rPr>
        <w:lastRenderedPageBreak/>
        <w:t xml:space="preserve">opera innovatrice di geografia linguistica che copre un enorme spazio plurilingue, i cui materiali inediti si trovano presso la Fondazione </w:t>
      </w:r>
      <w:r w:rsidR="002A2CE7">
        <w:rPr>
          <w:rFonts w:ascii="Garamond" w:eastAsia="Times New Roman" w:hAnsi="Garamond" w:cs="Times New Roman"/>
          <w:sz w:val="24"/>
          <w:szCs w:val="24"/>
          <w:lang w:eastAsia="it-IT"/>
        </w:rPr>
        <w:t xml:space="preserve">Giorgio </w:t>
      </w:r>
      <w:r w:rsidRPr="00400C5D">
        <w:rPr>
          <w:rFonts w:ascii="Garamond" w:eastAsia="Times New Roman" w:hAnsi="Garamond" w:cs="Times New Roman"/>
          <w:sz w:val="24"/>
          <w:szCs w:val="24"/>
          <w:lang w:eastAsia="it-IT"/>
        </w:rPr>
        <w:t>Cini di Venezia.</w:t>
      </w:r>
    </w:p>
    <w:p w14:paraId="758412C9" w14:textId="77777777" w:rsidR="00400C5D" w:rsidRPr="00400C5D" w:rsidRDefault="00400C5D" w:rsidP="00400C5D">
      <w:pPr>
        <w:spacing w:after="0" w:line="276" w:lineRule="auto"/>
        <w:jc w:val="both"/>
        <w:rPr>
          <w:rFonts w:ascii="Garamond" w:eastAsia="Times New Roman" w:hAnsi="Garamond" w:cs="Times New Roman"/>
          <w:sz w:val="24"/>
          <w:szCs w:val="24"/>
          <w:lang w:eastAsia="it-IT"/>
        </w:rPr>
      </w:pPr>
    </w:p>
    <w:p w14:paraId="66D1A181" w14:textId="77777777"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noProof/>
          <w:sz w:val="24"/>
          <w:szCs w:val="24"/>
          <w:lang w:eastAsia="it-IT"/>
        </w:rPr>
        <w:drawing>
          <wp:inline distT="0" distB="0" distL="0" distR="0" wp14:anchorId="1DF5A534" wp14:editId="73CF9128">
            <wp:extent cx="6120000" cy="4590000"/>
            <wp:effectExtent l="0" t="0" r="0" b="1270"/>
            <wp:docPr id="3" name="Immagine 3" descr="https://www.gianfrancofolena.it/wp-content/uploads/2020/04/607277997.902653-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ianfrancofolena.it/wp-content/uploads/2020/04/607277997.902653-1024x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4590000"/>
                    </a:xfrm>
                    <a:prstGeom prst="rect">
                      <a:avLst/>
                    </a:prstGeom>
                    <a:noFill/>
                    <a:ln>
                      <a:noFill/>
                    </a:ln>
                  </pic:spPr>
                </pic:pic>
              </a:graphicData>
            </a:graphic>
          </wp:inline>
        </w:drawing>
      </w:r>
    </w:p>
    <w:p w14:paraId="132DAEB4" w14:textId="77777777" w:rsidR="00400C5D" w:rsidRDefault="00400C5D" w:rsidP="00400C5D">
      <w:pPr>
        <w:spacing w:after="0" w:line="276" w:lineRule="auto"/>
        <w:jc w:val="both"/>
        <w:rPr>
          <w:rFonts w:ascii="Garamond" w:eastAsia="Times New Roman" w:hAnsi="Garamond" w:cs="Times New Roman"/>
          <w:sz w:val="24"/>
          <w:szCs w:val="24"/>
          <w:lang w:eastAsia="it-IT"/>
        </w:rPr>
      </w:pPr>
    </w:p>
    <w:p w14:paraId="6D1ED418" w14:textId="7C7E007E" w:rsid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Gli inizi della produzione di Folena sono caratterizzati da una serie di edizioni di testi italiani antichi. Temporalmente il centro </w:t>
      </w:r>
      <w:r w:rsidR="002A2CE7">
        <w:rPr>
          <w:rFonts w:ascii="Garamond" w:eastAsia="Times New Roman" w:hAnsi="Garamond" w:cs="Times New Roman"/>
          <w:sz w:val="24"/>
          <w:szCs w:val="24"/>
          <w:lang w:eastAsia="it-IT"/>
        </w:rPr>
        <w:t xml:space="preserve">dei suoi interessi </w:t>
      </w:r>
      <w:r w:rsidRPr="00400C5D">
        <w:rPr>
          <w:rFonts w:ascii="Garamond" w:eastAsia="Times New Roman" w:hAnsi="Garamond" w:cs="Times New Roman"/>
          <w:sz w:val="24"/>
          <w:szCs w:val="24"/>
          <w:lang w:eastAsia="it-IT"/>
        </w:rPr>
        <w:t xml:space="preserve">è il Quattrocento, secolo di “crisi linguistica”, periodo prediletto da Folena nelle sue esplorazioni, come l’altro secolo di grande crisi linguistica, il Settecento, a cui dedicherà più tardi numerosi contributi poi raccolti nel volume </w:t>
      </w:r>
      <w:r w:rsidRPr="00400C5D">
        <w:rPr>
          <w:rFonts w:ascii="Garamond" w:eastAsia="Times New Roman" w:hAnsi="Garamond" w:cs="Times New Roman"/>
          <w:i/>
          <w:iCs/>
          <w:sz w:val="24"/>
          <w:szCs w:val="24"/>
          <w:bdr w:val="none" w:sz="0" w:space="0" w:color="auto" w:frame="1"/>
          <w:lang w:eastAsia="it-IT"/>
        </w:rPr>
        <w:t>L’italiano in Europa</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Esperienze linguistiche del Settecento</w:t>
      </w:r>
      <w:r w:rsidRPr="00400C5D">
        <w:rPr>
          <w:rFonts w:ascii="Garamond" w:eastAsia="Times New Roman" w:hAnsi="Garamond" w:cs="Times New Roman"/>
          <w:sz w:val="24"/>
          <w:szCs w:val="24"/>
          <w:lang w:eastAsia="it-IT"/>
        </w:rPr>
        <w:t>, Torino 1983, opera cui fu assegnato il premio Viareggio). Partito dal fiorentino, Folena spaziò nei suoi lavori successivi su tutta l’Italia dialettale.</w:t>
      </w:r>
    </w:p>
    <w:p w14:paraId="52BB888A" w14:textId="733846E0"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Brevi, spesso ardui, saggi di edizione si trovano all’interno di articoli, come per esempio per gli antichi testi dalmatici (in realtà mistilingui, data la corposa presenza del veneziano), in </w:t>
      </w:r>
      <w:r w:rsidRPr="00400C5D">
        <w:rPr>
          <w:rFonts w:ascii="Garamond" w:eastAsia="Times New Roman" w:hAnsi="Garamond" w:cs="Times New Roman"/>
          <w:i/>
          <w:iCs/>
          <w:sz w:val="24"/>
          <w:szCs w:val="24"/>
          <w:bdr w:val="none" w:sz="0" w:space="0" w:color="auto" w:frame="1"/>
          <w:lang w:eastAsia="it-IT"/>
        </w:rPr>
        <w:t xml:space="preserve">Introduzione </w:t>
      </w:r>
      <w:r w:rsidRPr="00400C5D">
        <w:rPr>
          <w:rFonts w:ascii="Garamond" w:eastAsia="Times New Roman" w:hAnsi="Garamond" w:cs="Times New Roman"/>
          <w:sz w:val="24"/>
          <w:szCs w:val="24"/>
          <w:lang w:eastAsia="it-IT"/>
        </w:rPr>
        <w:t xml:space="preserve">al </w:t>
      </w:r>
      <w:r w:rsidRPr="00400C5D">
        <w:rPr>
          <w:rFonts w:ascii="Garamond" w:eastAsia="Times New Roman" w:hAnsi="Garamond" w:cs="Times New Roman"/>
          <w:i/>
          <w:iCs/>
          <w:sz w:val="24"/>
          <w:szCs w:val="24"/>
          <w:bdr w:val="none" w:sz="0" w:space="0" w:color="auto" w:frame="1"/>
          <w:lang w:eastAsia="it-IT"/>
        </w:rPr>
        <w:t>veneziano</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 xml:space="preserve">de là da </w:t>
      </w:r>
      <w:r w:rsidRPr="00400C5D">
        <w:rPr>
          <w:rFonts w:ascii="Garamond" w:eastAsia="Times New Roman" w:hAnsi="Garamond" w:cs="Times New Roman"/>
          <w:sz w:val="24"/>
          <w:szCs w:val="24"/>
          <w:lang w:eastAsia="it-IT"/>
        </w:rPr>
        <w:t xml:space="preserve">mar” (1968-70), poi in </w:t>
      </w:r>
      <w:r w:rsidRPr="00400C5D">
        <w:rPr>
          <w:rFonts w:ascii="Garamond" w:eastAsia="Times New Roman" w:hAnsi="Garamond" w:cs="Times New Roman"/>
          <w:i/>
          <w:iCs/>
          <w:sz w:val="24"/>
          <w:szCs w:val="24"/>
          <w:bdr w:val="none" w:sz="0" w:space="0" w:color="auto" w:frame="1"/>
          <w:lang w:eastAsia="it-IT"/>
        </w:rPr>
        <w:t>Culture e lingue</w:t>
      </w:r>
      <w:r w:rsidRPr="00400C5D">
        <w:rPr>
          <w:rFonts w:ascii="Garamond" w:eastAsia="Times New Roman" w:hAnsi="Garamond" w:cs="Times New Roman"/>
          <w:sz w:val="24"/>
          <w:szCs w:val="24"/>
          <w:lang w:eastAsia="it-IT"/>
        </w:rPr>
        <w:t xml:space="preserve">…, grande affresco della presenza veneziana in Oriente documentata, come di consueto, attraverso la presenza del veneziano (accanto al greco, al francese e a lingue orientali). </w:t>
      </w:r>
    </w:p>
    <w:p w14:paraId="03087EAD" w14:textId="77777777" w:rsidR="000C6779"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Nella prima fase della sua attività Folena fu soprattutto uno studioso di </w:t>
      </w:r>
      <w:r w:rsidRPr="00400C5D">
        <w:rPr>
          <w:rFonts w:ascii="Garamond" w:eastAsia="Times New Roman" w:hAnsi="Garamond" w:cs="Times New Roman"/>
          <w:i/>
          <w:iCs/>
          <w:sz w:val="24"/>
          <w:szCs w:val="24"/>
          <w:bdr w:val="none" w:sz="0" w:space="0" w:color="auto" w:frame="1"/>
          <w:lang w:eastAsia="it-IT"/>
        </w:rPr>
        <w:t xml:space="preserve">scriptae </w:t>
      </w:r>
      <w:r w:rsidRPr="00400C5D">
        <w:rPr>
          <w:rFonts w:ascii="Garamond" w:eastAsia="Times New Roman" w:hAnsi="Garamond" w:cs="Times New Roman"/>
          <w:sz w:val="24"/>
          <w:szCs w:val="24"/>
          <w:lang w:eastAsia="it-IT"/>
        </w:rPr>
        <w:t xml:space="preserve">e di problemi lessicali ed etimologici. Con il passare del tempo, invece, la forma più caratteristica e frequente degli studi di Folena divenne quella dedicata alla lingua di singoli autori. Questi sono considerati in genere non nella loro globalità, ma per qualche loro singola opera o complesso di opere, spesso non quelle più importanti e note. Raccogliendo questi contributi si potrebbe ottenere una storia della lingua italiana letteraria, che quasi sempre sarebbe di fatto anche una storia della letteratura sui </w:t>
      </w:r>
      <w:r w:rsidRPr="00400C5D">
        <w:rPr>
          <w:rFonts w:ascii="Garamond" w:eastAsia="Times New Roman" w:hAnsi="Garamond" w:cs="Times New Roman"/>
          <w:i/>
          <w:iCs/>
          <w:sz w:val="24"/>
          <w:szCs w:val="24"/>
          <w:bdr w:val="none" w:sz="0" w:space="0" w:color="auto" w:frame="1"/>
          <w:lang w:eastAsia="it-IT"/>
        </w:rPr>
        <w:t>generis</w:t>
      </w:r>
      <w:r w:rsidRPr="00400C5D">
        <w:rPr>
          <w:rFonts w:ascii="Garamond" w:eastAsia="Times New Roman" w:hAnsi="Garamond" w:cs="Times New Roman"/>
          <w:sz w:val="24"/>
          <w:szCs w:val="24"/>
          <w:lang w:eastAsia="it-IT"/>
        </w:rPr>
        <w:t xml:space="preserve">, di scuola in scuola e di autore in autore da Dante fino ad alcuni contemporanei. </w:t>
      </w:r>
    </w:p>
    <w:p w14:paraId="538F9AF2" w14:textId="5A4DA9F3"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lastRenderedPageBreak/>
        <w:t>Particolarmente importanti, tra tutti, i lavori sul Goldoni (</w:t>
      </w:r>
      <w:r w:rsidRPr="00400C5D">
        <w:rPr>
          <w:rFonts w:ascii="Garamond" w:eastAsia="Times New Roman" w:hAnsi="Garamond" w:cs="Times New Roman"/>
          <w:i/>
          <w:iCs/>
          <w:sz w:val="24"/>
          <w:szCs w:val="24"/>
          <w:bdr w:val="none" w:sz="0" w:space="0" w:color="auto" w:frame="1"/>
          <w:lang w:eastAsia="it-IT"/>
        </w:rPr>
        <w:t>Il linguaggio del Goldoni dall’improvviso al concertato</w:t>
      </w:r>
      <w:r w:rsidRPr="00400C5D">
        <w:rPr>
          <w:rFonts w:ascii="Garamond" w:eastAsia="Times New Roman" w:hAnsi="Garamond" w:cs="Times New Roman"/>
          <w:sz w:val="24"/>
          <w:szCs w:val="24"/>
          <w:lang w:eastAsia="it-IT"/>
        </w:rPr>
        <w:t xml:space="preserve">, in </w:t>
      </w:r>
      <w:r w:rsidRPr="00400C5D">
        <w:rPr>
          <w:rFonts w:ascii="Garamond" w:eastAsia="Times New Roman" w:hAnsi="Garamond" w:cs="Times New Roman"/>
          <w:i/>
          <w:iCs/>
          <w:sz w:val="24"/>
          <w:szCs w:val="24"/>
          <w:bdr w:val="none" w:sz="0" w:space="0" w:color="auto" w:frame="1"/>
          <w:lang w:eastAsia="it-IT"/>
        </w:rPr>
        <w:t>Paragone</w:t>
      </w:r>
      <w:r w:rsidRPr="00400C5D">
        <w:rPr>
          <w:rFonts w:ascii="Garamond" w:eastAsia="Times New Roman" w:hAnsi="Garamond" w:cs="Times New Roman"/>
          <w:sz w:val="24"/>
          <w:szCs w:val="24"/>
          <w:lang w:eastAsia="it-IT"/>
        </w:rPr>
        <w:t>, VIII 1195</w:t>
      </w:r>
      <w:r w:rsidRPr="00400C5D">
        <w:rPr>
          <w:rFonts w:ascii="Garamond" w:eastAsia="Times New Roman" w:hAnsi="Garamond" w:cs="Times New Roman"/>
          <w:i/>
          <w:iCs/>
          <w:sz w:val="24"/>
          <w:szCs w:val="24"/>
          <w:bdr w:val="none" w:sz="0" w:space="0" w:color="auto" w:frame="1"/>
          <w:lang w:eastAsia="it-IT"/>
        </w:rPr>
        <w:t>–</w:t>
      </w:r>
      <w:r w:rsidRPr="00400C5D">
        <w:rPr>
          <w:rFonts w:ascii="Garamond" w:eastAsia="Times New Roman" w:hAnsi="Garamond" w:cs="Times New Roman"/>
          <w:sz w:val="24"/>
          <w:szCs w:val="24"/>
          <w:lang w:eastAsia="it-IT"/>
        </w:rPr>
        <w:t xml:space="preserve">71, 94, pp. 4-28; </w:t>
      </w:r>
      <w:r w:rsidRPr="00400C5D">
        <w:rPr>
          <w:rFonts w:ascii="Garamond" w:eastAsia="Times New Roman" w:hAnsi="Garamond" w:cs="Times New Roman"/>
          <w:i/>
          <w:iCs/>
          <w:sz w:val="24"/>
          <w:szCs w:val="24"/>
          <w:bdr w:val="none" w:sz="0" w:space="0" w:color="auto" w:frame="1"/>
          <w:lang w:eastAsia="it-IT"/>
        </w:rPr>
        <w:t>L’esperienza linguistica di Carlo Goldoni</w:t>
      </w:r>
      <w:r w:rsidRPr="00400C5D">
        <w:rPr>
          <w:rFonts w:ascii="Garamond" w:eastAsia="Times New Roman" w:hAnsi="Garamond" w:cs="Times New Roman"/>
          <w:sz w:val="24"/>
          <w:szCs w:val="24"/>
          <w:lang w:eastAsia="it-IT"/>
        </w:rPr>
        <w:t xml:space="preserve">, in </w:t>
      </w:r>
      <w:r w:rsidRPr="00400C5D">
        <w:rPr>
          <w:rFonts w:ascii="Garamond" w:eastAsia="Times New Roman" w:hAnsi="Garamond" w:cs="Times New Roman"/>
          <w:i/>
          <w:iCs/>
          <w:sz w:val="24"/>
          <w:szCs w:val="24"/>
          <w:bdr w:val="none" w:sz="0" w:space="0" w:color="auto" w:frame="1"/>
          <w:lang w:eastAsia="it-IT"/>
        </w:rPr>
        <w:t>Lettere italiane</w:t>
      </w:r>
      <w:r w:rsidRPr="00400C5D">
        <w:rPr>
          <w:rFonts w:ascii="Garamond" w:eastAsia="Times New Roman" w:hAnsi="Garamond" w:cs="Times New Roman"/>
          <w:sz w:val="24"/>
          <w:szCs w:val="24"/>
          <w:lang w:eastAsia="it-IT"/>
        </w:rPr>
        <w:t xml:space="preserve">, X [1958], pp. 21-54) e i saggi raccolti nel volume </w:t>
      </w:r>
      <w:r w:rsidRPr="00400C5D">
        <w:rPr>
          <w:rFonts w:ascii="Garamond" w:eastAsia="Times New Roman" w:hAnsi="Garamond" w:cs="Times New Roman"/>
          <w:i/>
          <w:iCs/>
          <w:sz w:val="24"/>
          <w:szCs w:val="24"/>
          <w:bdr w:val="none" w:sz="0" w:space="0" w:color="auto" w:frame="1"/>
          <w:lang w:eastAsia="it-IT"/>
        </w:rPr>
        <w:t>L’italiano in Europa</w:t>
      </w:r>
      <w:r w:rsidRPr="00400C5D">
        <w:rPr>
          <w:rFonts w:ascii="Garamond" w:eastAsia="Times New Roman" w:hAnsi="Garamond" w:cs="Times New Roman"/>
          <w:sz w:val="24"/>
          <w:szCs w:val="24"/>
          <w:lang w:eastAsia="it-IT"/>
        </w:rPr>
        <w:t>, che hanno rinnovato a fondo il panorama critico sull’autore.</w:t>
      </w:r>
    </w:p>
    <w:p w14:paraId="47382016" w14:textId="707DB434" w:rsidR="00400C5D" w:rsidRPr="00400C5D" w:rsidRDefault="00400C5D" w:rsidP="00400C5D">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A questi saggi vanno aggiunte le numerose schede editoriali inserite nei volumi degli “Scrittori d’Italia”, schede spesso lievitate a dimensioni insolite, tanto da costituire veri e propri saggi. Con esse Folena ha coperto quasi tutta la storia della letteratura italiana. Va precisato anche che il concetto di letteratura era per Folena molto ampio. Negli “Scrittori d’Italia” e nella sua produzione occupano vasto spazio i trattatisti della lingua, della scienza e dell’arte, i memorialisti, i viaggiatori.</w:t>
      </w:r>
    </w:p>
    <w:p w14:paraId="126F9494" w14:textId="6E4B25C9"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Storico della lingua come istituzione sociale, Folena, benché restio alle sintesi eccessive, tentò anche panoramiche più ampie.</w:t>
      </w:r>
      <w:r w:rsidR="000C6779">
        <w:rPr>
          <w:rFonts w:ascii="Garamond" w:eastAsia="Times New Roman" w:hAnsi="Garamond" w:cs="Times New Roman"/>
          <w:sz w:val="24"/>
          <w:szCs w:val="24"/>
          <w:lang w:eastAsia="it-IT"/>
        </w:rPr>
        <w:t xml:space="preserve"> </w:t>
      </w:r>
      <w:r w:rsidRPr="00400C5D">
        <w:rPr>
          <w:rFonts w:ascii="Garamond" w:eastAsia="Times New Roman" w:hAnsi="Garamond" w:cs="Times New Roman"/>
          <w:sz w:val="24"/>
          <w:szCs w:val="24"/>
          <w:lang w:eastAsia="it-IT"/>
        </w:rPr>
        <w:t>Anche gli interessi metodologici e le riflessioni sullo status della storia della lingua italiana e dell</w:t>
      </w:r>
      <w:r w:rsidR="000C6779">
        <w:rPr>
          <w:rFonts w:ascii="Garamond" w:eastAsia="Times New Roman" w:hAnsi="Garamond" w:cs="Times New Roman"/>
          <w:sz w:val="24"/>
          <w:szCs w:val="24"/>
          <w:lang w:eastAsia="it-IT"/>
        </w:rPr>
        <w:t>e</w:t>
      </w:r>
      <w:r w:rsidRPr="00400C5D">
        <w:rPr>
          <w:rFonts w:ascii="Garamond" w:eastAsia="Times New Roman" w:hAnsi="Garamond" w:cs="Times New Roman"/>
          <w:sz w:val="24"/>
          <w:szCs w:val="24"/>
          <w:lang w:eastAsia="it-IT"/>
        </w:rPr>
        <w:t xml:space="preserve"> discipline vicine furono molti vivi in lui. </w:t>
      </w:r>
    </w:p>
    <w:p w14:paraId="5DA39E92" w14:textId="0B4F330D"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Gli studi di Folena nel campo del francese antico e soprattutto de</w:t>
      </w:r>
      <w:r w:rsidR="000C6779">
        <w:rPr>
          <w:rFonts w:ascii="Garamond" w:eastAsia="Times New Roman" w:hAnsi="Garamond" w:cs="Times New Roman"/>
          <w:sz w:val="24"/>
          <w:szCs w:val="24"/>
          <w:lang w:eastAsia="it-IT"/>
        </w:rPr>
        <w:t>l</w:t>
      </w:r>
      <w:r w:rsidRPr="00400C5D">
        <w:rPr>
          <w:rFonts w:ascii="Garamond" w:eastAsia="Times New Roman" w:hAnsi="Garamond" w:cs="Times New Roman"/>
          <w:sz w:val="24"/>
          <w:szCs w:val="24"/>
          <w:lang w:eastAsia="it-IT"/>
        </w:rPr>
        <w:t xml:space="preserve"> provenzale, coltivati a lungo all’interno dell’insegnamento di filologia romanza, furono sempre collegati all’Italia: così la premessa all’antologia “</w:t>
      </w:r>
      <w:r w:rsidRPr="00400C5D">
        <w:rPr>
          <w:rFonts w:ascii="Garamond" w:eastAsia="Times New Roman" w:hAnsi="Garamond" w:cs="Times New Roman"/>
          <w:i/>
          <w:iCs/>
          <w:sz w:val="24"/>
          <w:szCs w:val="24"/>
          <w:bdr w:val="none" w:sz="0" w:space="0" w:color="auto" w:frame="1"/>
          <w:lang w:eastAsia="it-IT"/>
        </w:rPr>
        <w:t>Vulgares eloquentes</w:t>
      </w:r>
      <w:r w:rsidR="000C6779">
        <w:rPr>
          <w:rFonts w:ascii="Garamond" w:eastAsia="Times New Roman" w:hAnsi="Garamond" w:cs="Times New Roman"/>
          <w:sz w:val="24"/>
          <w:szCs w:val="24"/>
          <w:lang w:eastAsia="it-IT"/>
        </w:rPr>
        <w:t>”</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Vite e poesie dei trovatori di Dante</w:t>
      </w:r>
      <w:r w:rsidRPr="00400C5D">
        <w:rPr>
          <w:rFonts w:ascii="Garamond" w:eastAsia="Times New Roman" w:hAnsi="Garamond" w:cs="Times New Roman"/>
          <w:sz w:val="24"/>
          <w:szCs w:val="24"/>
          <w:lang w:eastAsia="it-IT"/>
        </w:rPr>
        <w:t xml:space="preserve">, Padova 1961; </w:t>
      </w:r>
      <w:r w:rsidRPr="00400C5D">
        <w:rPr>
          <w:rFonts w:ascii="Garamond" w:eastAsia="Times New Roman" w:hAnsi="Garamond" w:cs="Times New Roman"/>
          <w:i/>
          <w:iCs/>
          <w:sz w:val="24"/>
          <w:szCs w:val="24"/>
          <w:bdr w:val="none" w:sz="0" w:space="0" w:color="auto" w:frame="1"/>
          <w:lang w:eastAsia="it-IT"/>
        </w:rPr>
        <w:t>Tradizione e cultura trobadorica nelle corti e nelle città venete</w:t>
      </w:r>
      <w:r w:rsidRPr="00400C5D">
        <w:rPr>
          <w:rFonts w:ascii="Garamond" w:eastAsia="Times New Roman" w:hAnsi="Garamond" w:cs="Times New Roman"/>
          <w:sz w:val="24"/>
          <w:szCs w:val="24"/>
          <w:lang w:eastAsia="it-IT"/>
        </w:rPr>
        <w:t xml:space="preserve">, in </w:t>
      </w:r>
      <w:r w:rsidRPr="00400C5D">
        <w:rPr>
          <w:rFonts w:ascii="Garamond" w:eastAsia="Times New Roman" w:hAnsi="Garamond" w:cs="Times New Roman"/>
          <w:i/>
          <w:iCs/>
          <w:sz w:val="24"/>
          <w:szCs w:val="24"/>
          <w:bdr w:val="none" w:sz="0" w:space="0" w:color="auto" w:frame="1"/>
          <w:lang w:eastAsia="it-IT"/>
        </w:rPr>
        <w:t>Storia della cultura veneta</w:t>
      </w:r>
      <w:r w:rsidRPr="00400C5D">
        <w:rPr>
          <w:rFonts w:ascii="Garamond" w:eastAsia="Times New Roman" w:hAnsi="Garamond" w:cs="Times New Roman"/>
          <w:sz w:val="24"/>
          <w:szCs w:val="24"/>
          <w:lang w:eastAsia="it-IT"/>
        </w:rPr>
        <w:t>, I, Vicenza 1976, pp. 452-562. Lo studio “</w:t>
      </w:r>
      <w:r w:rsidRPr="00400C5D">
        <w:rPr>
          <w:rFonts w:ascii="Garamond" w:eastAsia="Times New Roman" w:hAnsi="Garamond" w:cs="Times New Roman"/>
          <w:i/>
          <w:iCs/>
          <w:sz w:val="24"/>
          <w:szCs w:val="24"/>
          <w:bdr w:val="none" w:sz="0" w:space="0" w:color="auto" w:frame="1"/>
          <w:lang w:eastAsia="it-IT"/>
        </w:rPr>
        <w:t>Textus testis</w:t>
      </w:r>
      <w:r w:rsidR="000C6779">
        <w:rPr>
          <w:rFonts w:ascii="Garamond" w:eastAsia="Times New Roman" w:hAnsi="Garamond" w:cs="Times New Roman"/>
          <w:sz w:val="24"/>
          <w:szCs w:val="24"/>
          <w:lang w:eastAsia="it-IT"/>
        </w:rPr>
        <w:t>”</w:t>
      </w:r>
      <w:r w:rsidRPr="00400C5D">
        <w:rPr>
          <w:rFonts w:ascii="Garamond" w:eastAsia="Times New Roman" w:hAnsi="Garamond" w:cs="Times New Roman"/>
          <w:sz w:val="24"/>
          <w:szCs w:val="24"/>
          <w:lang w:eastAsia="it-IT"/>
        </w:rPr>
        <w:t xml:space="preserve">: </w:t>
      </w:r>
      <w:r w:rsidRPr="00400C5D">
        <w:rPr>
          <w:rFonts w:ascii="Garamond" w:eastAsia="Times New Roman" w:hAnsi="Garamond" w:cs="Times New Roman"/>
          <w:i/>
          <w:iCs/>
          <w:sz w:val="24"/>
          <w:szCs w:val="24"/>
          <w:bdr w:val="none" w:sz="0" w:space="0" w:color="auto" w:frame="1"/>
          <w:lang w:eastAsia="it-IT"/>
        </w:rPr>
        <w:t>caso e necessità nelle origini romanze</w:t>
      </w:r>
      <w:r w:rsidRPr="00400C5D">
        <w:rPr>
          <w:rFonts w:ascii="Garamond" w:eastAsia="Times New Roman" w:hAnsi="Garamond" w:cs="Times New Roman"/>
          <w:sz w:val="24"/>
          <w:szCs w:val="24"/>
          <w:lang w:eastAsia="it-IT"/>
        </w:rPr>
        <w:t xml:space="preserve"> (in </w:t>
      </w:r>
      <w:r w:rsidRPr="00400C5D">
        <w:rPr>
          <w:rFonts w:ascii="Garamond" w:eastAsia="Times New Roman" w:hAnsi="Garamond" w:cs="Times New Roman"/>
          <w:i/>
          <w:iCs/>
          <w:sz w:val="24"/>
          <w:szCs w:val="24"/>
          <w:bdr w:val="none" w:sz="0" w:space="0" w:color="auto" w:frame="1"/>
          <w:lang w:eastAsia="it-IT"/>
        </w:rPr>
        <w:t>Concetto, storia, miti e immagini nel Medio Evo</w:t>
      </w:r>
      <w:r w:rsidRPr="00400C5D">
        <w:rPr>
          <w:rFonts w:ascii="Garamond" w:eastAsia="Times New Roman" w:hAnsi="Garamond" w:cs="Times New Roman"/>
          <w:sz w:val="24"/>
          <w:szCs w:val="24"/>
          <w:lang w:eastAsia="it-IT"/>
        </w:rPr>
        <w:t>, Firenze 1973, pp. 487-507) è tra i più illuminanti tra quelli che cercano di individuare il complesso di cause che, paese per paese, ha favorito la nascita delle lingue romanze scritte e la loro fuoruscita dalla tutela del latino.</w:t>
      </w:r>
    </w:p>
    <w:p w14:paraId="55174049" w14:textId="6F890944" w:rsidR="00400C5D" w:rsidRPr="00400C5D" w:rsidRDefault="00400C5D" w:rsidP="00400C5D">
      <w:pPr>
        <w:spacing w:after="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Infine sul tema prediletto della traduzione, sul quale si possono trovare osservazioni sparse in moltissimi suoi saggi di diverso argomento, Folena ha sintetizzato le sue vedute in “</w:t>
      </w:r>
      <w:r w:rsidRPr="00400C5D">
        <w:rPr>
          <w:rFonts w:ascii="Garamond" w:eastAsia="Times New Roman" w:hAnsi="Garamond" w:cs="Times New Roman"/>
          <w:i/>
          <w:iCs/>
          <w:sz w:val="24"/>
          <w:szCs w:val="24"/>
          <w:bdr w:val="none" w:sz="0" w:space="0" w:color="auto" w:frame="1"/>
          <w:lang w:eastAsia="it-IT"/>
        </w:rPr>
        <w:t>Volgarizzare</w:t>
      </w:r>
      <w:r w:rsidR="000C6779">
        <w:rPr>
          <w:rFonts w:ascii="Garamond" w:eastAsia="Times New Roman" w:hAnsi="Garamond" w:cs="Times New Roman"/>
          <w:sz w:val="24"/>
          <w:szCs w:val="24"/>
          <w:lang w:eastAsia="it-IT"/>
        </w:rPr>
        <w:t>”</w:t>
      </w:r>
      <w:r w:rsidRPr="00400C5D">
        <w:rPr>
          <w:rFonts w:ascii="Garamond" w:eastAsia="Times New Roman" w:hAnsi="Garamond" w:cs="Times New Roman"/>
          <w:i/>
          <w:iCs/>
          <w:sz w:val="24"/>
          <w:szCs w:val="24"/>
          <w:bdr w:val="none" w:sz="0" w:space="0" w:color="auto" w:frame="1"/>
          <w:lang w:eastAsia="it-IT"/>
        </w:rPr>
        <w:t xml:space="preserve"> e </w:t>
      </w:r>
      <w:r w:rsidRPr="00400C5D">
        <w:rPr>
          <w:rFonts w:ascii="Garamond" w:eastAsia="Times New Roman" w:hAnsi="Garamond" w:cs="Times New Roman"/>
          <w:sz w:val="24"/>
          <w:szCs w:val="24"/>
          <w:lang w:eastAsia="it-IT"/>
        </w:rPr>
        <w:t>“</w:t>
      </w:r>
      <w:r w:rsidRPr="00400C5D">
        <w:rPr>
          <w:rFonts w:ascii="Garamond" w:eastAsia="Times New Roman" w:hAnsi="Garamond" w:cs="Times New Roman"/>
          <w:i/>
          <w:iCs/>
          <w:sz w:val="24"/>
          <w:szCs w:val="24"/>
          <w:bdr w:val="none" w:sz="0" w:space="0" w:color="auto" w:frame="1"/>
          <w:lang w:eastAsia="it-IT"/>
        </w:rPr>
        <w:t>tradurre</w:t>
      </w:r>
      <w:r w:rsidR="000C6779">
        <w:rPr>
          <w:rFonts w:ascii="Garamond" w:eastAsia="Times New Roman" w:hAnsi="Garamond" w:cs="Times New Roman"/>
          <w:sz w:val="24"/>
          <w:szCs w:val="24"/>
          <w:lang w:eastAsia="it-IT"/>
        </w:rPr>
        <w:t>”</w:t>
      </w:r>
      <w:r w:rsidRPr="00400C5D">
        <w:rPr>
          <w:rFonts w:ascii="Garamond" w:eastAsia="Times New Roman" w:hAnsi="Garamond" w:cs="Times New Roman"/>
          <w:i/>
          <w:iCs/>
          <w:sz w:val="24"/>
          <w:szCs w:val="24"/>
          <w:bdr w:val="none" w:sz="0" w:space="0" w:color="auto" w:frame="1"/>
          <w:lang w:eastAsia="it-IT"/>
        </w:rPr>
        <w:t>: idea e terminologia della traduzione dal Medioevo italiano e romanzo all’Umanesimo europeo</w:t>
      </w:r>
      <w:r w:rsidRPr="00400C5D">
        <w:rPr>
          <w:rFonts w:ascii="Garamond" w:eastAsia="Times New Roman" w:hAnsi="Garamond" w:cs="Times New Roman"/>
          <w:sz w:val="24"/>
          <w:szCs w:val="24"/>
          <w:lang w:eastAsia="it-IT"/>
        </w:rPr>
        <w:t xml:space="preserve">, in </w:t>
      </w:r>
      <w:r w:rsidRPr="00400C5D">
        <w:rPr>
          <w:rFonts w:ascii="Garamond" w:eastAsia="Times New Roman" w:hAnsi="Garamond" w:cs="Times New Roman"/>
          <w:i/>
          <w:iCs/>
          <w:sz w:val="24"/>
          <w:szCs w:val="24"/>
          <w:bdr w:val="none" w:sz="0" w:space="0" w:color="auto" w:frame="1"/>
          <w:lang w:eastAsia="it-IT"/>
        </w:rPr>
        <w:t>La traduzione, saggi e studi</w:t>
      </w:r>
      <w:r w:rsidRPr="00400C5D">
        <w:rPr>
          <w:rFonts w:ascii="Garamond" w:eastAsia="Times New Roman" w:hAnsi="Garamond" w:cs="Times New Roman"/>
          <w:sz w:val="24"/>
          <w:szCs w:val="24"/>
          <w:lang w:eastAsia="it-IT"/>
        </w:rPr>
        <w:t xml:space="preserve">, Trieste 1973, pp. 57-120, poi ampliato e arricchito di osservazioni teoriche nel libretto </w:t>
      </w:r>
      <w:r w:rsidRPr="00400C5D">
        <w:rPr>
          <w:rFonts w:ascii="Garamond" w:eastAsia="Times New Roman" w:hAnsi="Garamond" w:cs="Times New Roman"/>
          <w:i/>
          <w:iCs/>
          <w:sz w:val="24"/>
          <w:szCs w:val="24"/>
          <w:bdr w:val="none" w:sz="0" w:space="0" w:color="auto" w:frame="1"/>
          <w:lang w:eastAsia="it-IT"/>
        </w:rPr>
        <w:t>Volgarizzare e tradurre</w:t>
      </w:r>
      <w:r w:rsidRPr="00400C5D">
        <w:rPr>
          <w:rFonts w:ascii="Garamond" w:eastAsia="Times New Roman" w:hAnsi="Garamond" w:cs="Times New Roman"/>
          <w:sz w:val="24"/>
          <w:szCs w:val="24"/>
          <w:lang w:eastAsia="it-IT"/>
        </w:rPr>
        <w:t>, Torino 1991.</w:t>
      </w:r>
    </w:p>
    <w:p w14:paraId="1DCC34E2" w14:textId="396C63BA" w:rsidR="00400C5D" w:rsidRPr="00400C5D" w:rsidRDefault="00400C5D" w:rsidP="000C6779">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Folena si oppose ai tentativi, legati in genere allo strutturalismo, di fondare “teorie” (nel senso forte) della traduzione. Per lui la traduzione è una pratica che ha funzioni e ha assunto forme diverse in tempi e contesti diversi: il Medioevo e l’Umanesimo offrono abbondante esemplificazione alla sua tesi.</w:t>
      </w:r>
      <w:r w:rsidR="000C6779">
        <w:rPr>
          <w:rFonts w:ascii="Garamond" w:eastAsia="Times New Roman" w:hAnsi="Garamond" w:cs="Times New Roman"/>
          <w:sz w:val="24"/>
          <w:szCs w:val="24"/>
          <w:lang w:eastAsia="it-IT"/>
        </w:rPr>
        <w:t xml:space="preserve">           </w:t>
      </w:r>
      <w:r w:rsidRPr="00400C5D">
        <w:rPr>
          <w:rFonts w:ascii="Garamond" w:eastAsia="Times New Roman" w:hAnsi="Garamond" w:cs="Times New Roman"/>
          <w:sz w:val="24"/>
          <w:szCs w:val="24"/>
          <w:lang w:eastAsia="it-IT"/>
        </w:rPr>
        <w:t xml:space="preserve">Folena è stato anche uno storico della filologia e della critica. Passi sulla storia delle discipline e, in particolare su autori trascurati o dimenticati, si trovano quasi in ogni suo saggio. </w:t>
      </w:r>
    </w:p>
    <w:p w14:paraId="7991E037" w14:textId="77777777" w:rsidR="000C6779" w:rsidRDefault="00400C5D" w:rsidP="00400C5D">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Inquadrata nel proprio tempo, l’opera di Folena appare inserita in quel movimento di rinnovamento filologico che si era già annunciato in Italia prima nel dominio classico con G. Pasquali, e si sviluppò soprattutto nel dominio moderno, dove è stato rappresentato in modo paradigmatico da G. Contini. Nel gruppo di filologi e critici di quest’area, che oltre a svolgere pratica filologica e linguistica, sono stati storici e critici letterari e teorici della letteratura, Folena si è distinto per un suo atteggiamento particolare: egli è stato meno sensibile ai richiami del formalismo, dello strutturalismo, della semiologia letteraria. </w:t>
      </w:r>
    </w:p>
    <w:p w14:paraId="46D35F7D" w14:textId="77777777" w:rsidR="00AE670B" w:rsidRDefault="00400C5D" w:rsidP="00400C5D">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Nel suo insegnamento Folena ebbe un atteggiamento di massima apertura, tale da favorire nella pratica universitaria lo svilupparsi di orientamenti nuovi, tanto che dalla sua scuola sono usciti allievi di indirizzi molto diversi. Ma per quello che riguarda la sua opera, essa è caratterizzata non tanto da acquisizioni dall’esterno, ma dal tentativo di approfondire le proprie premesse originarie. </w:t>
      </w:r>
    </w:p>
    <w:p w14:paraId="3E157D4C" w14:textId="4FE60825" w:rsidR="00400C5D" w:rsidRPr="00400C5D" w:rsidRDefault="00400C5D" w:rsidP="00400C5D">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 xml:space="preserve">Nel corso della sua opera Folena ha portato a fondo quell’ampliamento della rete dei rapporti interdisciplinari che era visibile già negli inizi. Ha fatto cadere, o almeno ha operato un assottigliamento </w:t>
      </w:r>
      <w:r w:rsidRPr="00400C5D">
        <w:rPr>
          <w:rFonts w:ascii="Garamond" w:eastAsia="Times New Roman" w:hAnsi="Garamond" w:cs="Times New Roman"/>
          <w:sz w:val="24"/>
          <w:szCs w:val="24"/>
          <w:lang w:eastAsia="it-IT"/>
        </w:rPr>
        <w:lastRenderedPageBreak/>
        <w:t>delle paratie che dividono varie discipline: filologia, storia, storia della letteratura, linguistica (e, all’interno di questo approccio sincronico e storico, lessicologia, geografia linguistica, ecc.). Ricordiamo d’altra parte che il suo storicismo non era mai stato, nemmeno agli inizi, quello del neoidealismo gentiliano o crociano, ma era nutrito di ricerca empirica. Un atteggiamento pragmatico, privo di apriorismi e prudente nelle generalizzazioni, era presente in generale nel suo modo di affrontare i problemi. Gli interessava la ricerca del particolare, dell’idiosincratico. Era pronto a servirsi per questo sia delle tecniche e dei risultati delle teorie in voga, sia di quelle desuete. In gioventù l’esempio di L. Spitzer aveva esercitato su di lui una grande influenza in questo senso.</w:t>
      </w:r>
    </w:p>
    <w:p w14:paraId="5974931E" w14:textId="77777777" w:rsidR="00400C5D" w:rsidRPr="00400C5D" w:rsidRDefault="00400C5D" w:rsidP="00400C5D">
      <w:pPr>
        <w:spacing w:after="300" w:line="276" w:lineRule="auto"/>
        <w:jc w:val="both"/>
        <w:rPr>
          <w:rFonts w:ascii="Garamond" w:eastAsia="Times New Roman" w:hAnsi="Garamond" w:cs="Times New Roman"/>
          <w:sz w:val="24"/>
          <w:szCs w:val="24"/>
          <w:lang w:eastAsia="it-IT"/>
        </w:rPr>
      </w:pPr>
      <w:r w:rsidRPr="00400C5D">
        <w:rPr>
          <w:rFonts w:ascii="Garamond" w:eastAsia="Times New Roman" w:hAnsi="Garamond" w:cs="Times New Roman"/>
          <w:sz w:val="24"/>
          <w:szCs w:val="24"/>
          <w:lang w:eastAsia="it-IT"/>
        </w:rPr>
        <w:t>In questa luce, Folena, che pure ha occupato una posizione centrale nella cultura linguistica italiana del Novecento, appare quasi come una figura controcorrente in uno scenario caratterizzato frequentemente da una ricerca, spesso affannosa, di modelli forti.</w:t>
      </w:r>
    </w:p>
    <w:p w14:paraId="6AC1E1D9" w14:textId="77777777" w:rsidR="003F5F1C" w:rsidRPr="00400C5D" w:rsidRDefault="003F5F1C" w:rsidP="00400C5D">
      <w:pPr>
        <w:spacing w:line="276" w:lineRule="auto"/>
        <w:jc w:val="both"/>
        <w:rPr>
          <w:rFonts w:ascii="Garamond" w:hAnsi="Garamond"/>
          <w:sz w:val="24"/>
          <w:szCs w:val="24"/>
        </w:rPr>
      </w:pPr>
    </w:p>
    <w:sectPr w:rsidR="003F5F1C" w:rsidRPr="00400C5D" w:rsidSect="00D9095D">
      <w:footerReference w:type="default" r:id="rId10"/>
      <w:pgSz w:w="11907" w:h="16839"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4B86" w14:textId="77777777" w:rsidR="0015290B" w:rsidRDefault="0015290B" w:rsidP="003F5F1C">
      <w:pPr>
        <w:spacing w:after="0" w:line="240" w:lineRule="auto"/>
      </w:pPr>
      <w:r>
        <w:separator/>
      </w:r>
    </w:p>
  </w:endnote>
  <w:endnote w:type="continuationSeparator" w:id="0">
    <w:p w14:paraId="62ACE965" w14:textId="77777777" w:rsidR="0015290B" w:rsidRDefault="0015290B" w:rsidP="003F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88337"/>
      <w:docPartObj>
        <w:docPartGallery w:val="Page Numbers (Bottom of Page)"/>
        <w:docPartUnique/>
      </w:docPartObj>
    </w:sdtPr>
    <w:sdtEndPr/>
    <w:sdtContent>
      <w:p w14:paraId="13ED0FB6" w14:textId="77777777" w:rsidR="003F5F1C" w:rsidRDefault="003F5F1C">
        <w:pPr>
          <w:pStyle w:val="Pidipagina"/>
          <w:jc w:val="center"/>
        </w:pPr>
        <w:r>
          <w:fldChar w:fldCharType="begin"/>
        </w:r>
        <w:r>
          <w:instrText>PAGE   \* MERGEFORMAT</w:instrText>
        </w:r>
        <w:r>
          <w:fldChar w:fldCharType="separate"/>
        </w:r>
        <w:r w:rsidR="00C020FA">
          <w:rPr>
            <w:noProof/>
          </w:rPr>
          <w:t>1</w:t>
        </w:r>
        <w:r>
          <w:fldChar w:fldCharType="end"/>
        </w:r>
      </w:p>
    </w:sdtContent>
  </w:sdt>
  <w:p w14:paraId="08807237" w14:textId="77777777" w:rsidR="003F5F1C" w:rsidRDefault="003F5F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DAF1E" w14:textId="77777777" w:rsidR="0015290B" w:rsidRDefault="0015290B" w:rsidP="003F5F1C">
      <w:pPr>
        <w:spacing w:after="0" w:line="240" w:lineRule="auto"/>
      </w:pPr>
      <w:r>
        <w:separator/>
      </w:r>
    </w:p>
  </w:footnote>
  <w:footnote w:type="continuationSeparator" w:id="0">
    <w:p w14:paraId="54522503" w14:textId="77777777" w:rsidR="0015290B" w:rsidRDefault="0015290B" w:rsidP="003F5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43202"/>
    <w:multiLevelType w:val="multilevel"/>
    <w:tmpl w:val="458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35902"/>
    <w:multiLevelType w:val="multilevel"/>
    <w:tmpl w:val="E14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B54AB"/>
    <w:multiLevelType w:val="multilevel"/>
    <w:tmpl w:val="ED32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5D"/>
    <w:rsid w:val="000C6779"/>
    <w:rsid w:val="0015290B"/>
    <w:rsid w:val="00152E79"/>
    <w:rsid w:val="002A2CE7"/>
    <w:rsid w:val="003265E7"/>
    <w:rsid w:val="003E6E09"/>
    <w:rsid w:val="003F5F1C"/>
    <w:rsid w:val="00400C5D"/>
    <w:rsid w:val="005265C7"/>
    <w:rsid w:val="00587531"/>
    <w:rsid w:val="00691148"/>
    <w:rsid w:val="008A7B5D"/>
    <w:rsid w:val="00AC6409"/>
    <w:rsid w:val="00AE670B"/>
    <w:rsid w:val="00BC205A"/>
    <w:rsid w:val="00C020FA"/>
    <w:rsid w:val="00C06BA6"/>
    <w:rsid w:val="00D9095D"/>
    <w:rsid w:val="00E52345"/>
    <w:rsid w:val="00E60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3777"/>
  <w15:chartTrackingRefBased/>
  <w15:docId w15:val="{53BBC71F-85BC-4B91-B3D5-12B05FA2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00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00C5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0C5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00C5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400C5D"/>
    <w:rPr>
      <w:color w:val="0000FF"/>
      <w:u w:val="single"/>
    </w:rPr>
  </w:style>
  <w:style w:type="character" w:customStyle="1" w:styleId="screen-reader-text">
    <w:name w:val="screen-reader-text"/>
    <w:basedOn w:val="Carpredefinitoparagrafo"/>
    <w:rsid w:val="00400C5D"/>
  </w:style>
  <w:style w:type="character" w:customStyle="1" w:styleId="toggle-text">
    <w:name w:val="toggle-text"/>
    <w:basedOn w:val="Carpredefinitoparagrafo"/>
    <w:rsid w:val="00400C5D"/>
  </w:style>
  <w:style w:type="paragraph" w:styleId="NormaleWeb">
    <w:name w:val="Normal (Web)"/>
    <w:basedOn w:val="Normale"/>
    <w:uiPriority w:val="99"/>
    <w:semiHidden/>
    <w:unhideWhenUsed/>
    <w:rsid w:val="00400C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00C5D"/>
    <w:rPr>
      <w:i/>
      <w:iCs/>
    </w:rPr>
  </w:style>
  <w:style w:type="character" w:styleId="Enfasigrassetto">
    <w:name w:val="Strong"/>
    <w:basedOn w:val="Carpredefinitoparagrafo"/>
    <w:uiPriority w:val="22"/>
    <w:qFormat/>
    <w:rsid w:val="00400C5D"/>
    <w:rPr>
      <w:b/>
      <w:bCs/>
    </w:rPr>
  </w:style>
  <w:style w:type="paragraph" w:customStyle="1" w:styleId="footer-copyright">
    <w:name w:val="footer-copyright"/>
    <w:basedOn w:val="Normale"/>
    <w:rsid w:val="00400C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vacy-policy">
    <w:name w:val="privacy-policy"/>
    <w:basedOn w:val="Normale"/>
    <w:rsid w:val="00400C5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wered-by-wordpress">
    <w:name w:val="powered-by-wordpress"/>
    <w:basedOn w:val="Normale"/>
    <w:rsid w:val="00400C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the-top-long">
    <w:name w:val="to-the-top-long"/>
    <w:basedOn w:val="Carpredefinitoparagrafo"/>
    <w:rsid w:val="00400C5D"/>
  </w:style>
  <w:style w:type="character" w:customStyle="1" w:styleId="arrow">
    <w:name w:val="arrow"/>
    <w:basedOn w:val="Carpredefinitoparagrafo"/>
    <w:rsid w:val="00400C5D"/>
  </w:style>
  <w:style w:type="paragraph" w:styleId="Intestazione">
    <w:name w:val="header"/>
    <w:basedOn w:val="Normale"/>
    <w:link w:val="IntestazioneCarattere"/>
    <w:uiPriority w:val="99"/>
    <w:unhideWhenUsed/>
    <w:rsid w:val="003F5F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5F1C"/>
  </w:style>
  <w:style w:type="paragraph" w:styleId="Pidipagina">
    <w:name w:val="footer"/>
    <w:basedOn w:val="Normale"/>
    <w:link w:val="PidipaginaCarattere"/>
    <w:uiPriority w:val="99"/>
    <w:unhideWhenUsed/>
    <w:rsid w:val="003F5F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5F1C"/>
  </w:style>
  <w:style w:type="paragraph" w:styleId="Testofumetto">
    <w:name w:val="Balloon Text"/>
    <w:basedOn w:val="Normale"/>
    <w:link w:val="TestofumettoCarattere"/>
    <w:uiPriority w:val="99"/>
    <w:semiHidden/>
    <w:unhideWhenUsed/>
    <w:rsid w:val="003F5F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5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7966">
      <w:bodyDiv w:val="1"/>
      <w:marLeft w:val="0"/>
      <w:marRight w:val="0"/>
      <w:marTop w:val="0"/>
      <w:marBottom w:val="0"/>
      <w:divBdr>
        <w:top w:val="none" w:sz="0" w:space="0" w:color="auto"/>
        <w:left w:val="none" w:sz="0" w:space="0" w:color="auto"/>
        <w:bottom w:val="none" w:sz="0" w:space="0" w:color="auto"/>
        <w:right w:val="none" w:sz="0" w:space="0" w:color="auto"/>
      </w:divBdr>
      <w:divsChild>
        <w:div w:id="26416629">
          <w:marLeft w:val="0"/>
          <w:marRight w:val="0"/>
          <w:marTop w:val="0"/>
          <w:marBottom w:val="0"/>
          <w:divBdr>
            <w:top w:val="none" w:sz="0" w:space="0" w:color="auto"/>
            <w:left w:val="none" w:sz="0" w:space="0" w:color="auto"/>
            <w:bottom w:val="none" w:sz="0" w:space="0" w:color="auto"/>
            <w:right w:val="none" w:sz="0" w:space="0" w:color="auto"/>
          </w:divBdr>
          <w:divsChild>
            <w:div w:id="308215869">
              <w:marLeft w:val="0"/>
              <w:marRight w:val="0"/>
              <w:marTop w:val="0"/>
              <w:marBottom w:val="0"/>
              <w:divBdr>
                <w:top w:val="none" w:sz="0" w:space="0" w:color="auto"/>
                <w:left w:val="none" w:sz="0" w:space="0" w:color="auto"/>
                <w:bottom w:val="none" w:sz="0" w:space="0" w:color="auto"/>
                <w:right w:val="none" w:sz="0" w:space="0" w:color="auto"/>
              </w:divBdr>
              <w:divsChild>
                <w:div w:id="930702834">
                  <w:marLeft w:val="0"/>
                  <w:marRight w:val="0"/>
                  <w:marTop w:val="0"/>
                  <w:marBottom w:val="0"/>
                  <w:divBdr>
                    <w:top w:val="none" w:sz="0" w:space="0" w:color="auto"/>
                    <w:left w:val="none" w:sz="0" w:space="0" w:color="auto"/>
                    <w:bottom w:val="none" w:sz="0" w:space="0" w:color="auto"/>
                    <w:right w:val="none" w:sz="0" w:space="0" w:color="auto"/>
                  </w:divBdr>
                </w:div>
              </w:divsChild>
            </w:div>
            <w:div w:id="1950431660">
              <w:marLeft w:val="0"/>
              <w:marRight w:val="0"/>
              <w:marTop w:val="0"/>
              <w:marBottom w:val="0"/>
              <w:divBdr>
                <w:top w:val="none" w:sz="0" w:space="0" w:color="auto"/>
                <w:left w:val="none" w:sz="0" w:space="0" w:color="auto"/>
                <w:bottom w:val="none" w:sz="0" w:space="0" w:color="auto"/>
                <w:right w:val="none" w:sz="0" w:space="0" w:color="auto"/>
              </w:divBdr>
              <w:divsChild>
                <w:div w:id="1866753067">
                  <w:marLeft w:val="0"/>
                  <w:marRight w:val="0"/>
                  <w:marTop w:val="0"/>
                  <w:marBottom w:val="0"/>
                  <w:divBdr>
                    <w:top w:val="none" w:sz="0" w:space="0" w:color="auto"/>
                    <w:left w:val="none" w:sz="0" w:space="0" w:color="auto"/>
                    <w:bottom w:val="none" w:sz="0" w:space="0" w:color="auto"/>
                    <w:right w:val="none" w:sz="0" w:space="0" w:color="auto"/>
                  </w:divBdr>
                  <w:divsChild>
                    <w:div w:id="6023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309">
          <w:marLeft w:val="0"/>
          <w:marRight w:val="0"/>
          <w:marTop w:val="0"/>
          <w:marBottom w:val="0"/>
          <w:divBdr>
            <w:top w:val="none" w:sz="0" w:space="0" w:color="auto"/>
            <w:left w:val="none" w:sz="0" w:space="0" w:color="auto"/>
            <w:bottom w:val="none" w:sz="0" w:space="0" w:color="auto"/>
            <w:right w:val="none" w:sz="0" w:space="0" w:color="auto"/>
          </w:divBdr>
        </w:div>
        <w:div w:id="1579515538">
          <w:marLeft w:val="0"/>
          <w:marRight w:val="0"/>
          <w:marTop w:val="0"/>
          <w:marBottom w:val="0"/>
          <w:divBdr>
            <w:top w:val="none" w:sz="0" w:space="0" w:color="auto"/>
            <w:left w:val="none" w:sz="0" w:space="0" w:color="auto"/>
            <w:bottom w:val="none" w:sz="0" w:space="0" w:color="auto"/>
            <w:right w:val="none" w:sz="0" w:space="0" w:color="auto"/>
          </w:divBdr>
          <w:divsChild>
            <w:div w:id="616331668">
              <w:marLeft w:val="0"/>
              <w:marRight w:val="0"/>
              <w:marTop w:val="0"/>
              <w:marBottom w:val="0"/>
              <w:divBdr>
                <w:top w:val="none" w:sz="0" w:space="0" w:color="auto"/>
                <w:left w:val="none" w:sz="0" w:space="0" w:color="auto"/>
                <w:bottom w:val="none" w:sz="0" w:space="0" w:color="auto"/>
                <w:right w:val="none" w:sz="0" w:space="0" w:color="auto"/>
              </w:divBdr>
              <w:divsChild>
                <w:div w:id="1221330594">
                  <w:marLeft w:val="0"/>
                  <w:marRight w:val="0"/>
                  <w:marTop w:val="0"/>
                  <w:marBottom w:val="0"/>
                  <w:divBdr>
                    <w:top w:val="none" w:sz="0" w:space="0" w:color="auto"/>
                    <w:left w:val="none" w:sz="0" w:space="0" w:color="auto"/>
                    <w:bottom w:val="none" w:sz="0" w:space="0" w:color="auto"/>
                    <w:right w:val="none" w:sz="0" w:space="0" w:color="auto"/>
                  </w:divBdr>
                </w:div>
                <w:div w:id="1428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785">
          <w:marLeft w:val="0"/>
          <w:marRight w:val="0"/>
          <w:marTop w:val="0"/>
          <w:marBottom w:val="0"/>
          <w:divBdr>
            <w:top w:val="single" w:sz="2" w:space="0" w:color="D7CFAB"/>
            <w:left w:val="single" w:sz="2" w:space="0" w:color="D7CFAB"/>
            <w:bottom w:val="single" w:sz="2" w:space="0" w:color="D7CFAB"/>
            <w:right w:val="single" w:sz="2" w:space="0" w:color="D7CFAB"/>
          </w:divBdr>
          <w:divsChild>
            <w:div w:id="1182627033">
              <w:marLeft w:val="0"/>
              <w:marRight w:val="0"/>
              <w:marTop w:val="0"/>
              <w:marBottom w:val="0"/>
              <w:divBdr>
                <w:top w:val="none" w:sz="0" w:space="0" w:color="auto"/>
                <w:left w:val="none" w:sz="0" w:space="0" w:color="auto"/>
                <w:bottom w:val="none" w:sz="0" w:space="0" w:color="auto"/>
                <w:right w:val="none" w:sz="0" w:space="0" w:color="auto"/>
              </w:divBdr>
              <w:divsChild>
                <w:div w:id="933514197">
                  <w:marLeft w:val="0"/>
                  <w:marRight w:val="0"/>
                  <w:marTop w:val="0"/>
                  <w:marBottom w:val="0"/>
                  <w:divBdr>
                    <w:top w:val="none" w:sz="0" w:space="0" w:color="D7CFAB"/>
                    <w:left w:val="none" w:sz="0" w:space="0" w:color="D7CFAB"/>
                    <w:bottom w:val="none" w:sz="0" w:space="0" w:color="auto"/>
                    <w:right w:val="none" w:sz="0" w:space="0" w:color="D7CFAB"/>
                  </w:divBdr>
                </w:div>
                <w:div w:id="392780147">
                  <w:marLeft w:val="0"/>
                  <w:marRight w:val="0"/>
                  <w:marTop w:val="0"/>
                  <w:marBottom w:val="0"/>
                  <w:divBdr>
                    <w:top w:val="none" w:sz="0" w:space="0" w:color="auto"/>
                    <w:left w:val="none" w:sz="0" w:space="0" w:color="auto"/>
                    <w:bottom w:val="none" w:sz="0" w:space="0" w:color="auto"/>
                    <w:right w:val="none" w:sz="0" w:space="0" w:color="auto"/>
                  </w:divBdr>
                  <w:divsChild>
                    <w:div w:id="473718092">
                      <w:marLeft w:val="0"/>
                      <w:marRight w:val="0"/>
                      <w:marTop w:val="0"/>
                      <w:marBottom w:val="0"/>
                      <w:divBdr>
                        <w:top w:val="none" w:sz="0" w:space="0" w:color="auto"/>
                        <w:left w:val="none" w:sz="0" w:space="0" w:color="auto"/>
                        <w:bottom w:val="none" w:sz="0" w:space="0" w:color="auto"/>
                        <w:right w:val="none" w:sz="0" w:space="0" w:color="auto"/>
                      </w:divBdr>
                      <w:divsChild>
                        <w:div w:id="1001934023">
                          <w:marLeft w:val="0"/>
                          <w:marRight w:val="0"/>
                          <w:marTop w:val="0"/>
                          <w:marBottom w:val="0"/>
                          <w:divBdr>
                            <w:top w:val="none" w:sz="0" w:space="0" w:color="auto"/>
                            <w:left w:val="none" w:sz="0" w:space="0" w:color="auto"/>
                            <w:bottom w:val="none" w:sz="0" w:space="0" w:color="auto"/>
                            <w:right w:val="none" w:sz="0" w:space="0" w:color="auto"/>
                          </w:divBdr>
                          <w:divsChild>
                            <w:div w:id="1484850111">
                              <w:marLeft w:val="0"/>
                              <w:marRight w:val="0"/>
                              <w:marTop w:val="0"/>
                              <w:marBottom w:val="0"/>
                              <w:divBdr>
                                <w:top w:val="none" w:sz="0" w:space="0" w:color="auto"/>
                                <w:left w:val="none" w:sz="0" w:space="0" w:color="auto"/>
                                <w:bottom w:val="none" w:sz="0" w:space="0" w:color="auto"/>
                                <w:right w:val="none" w:sz="0" w:space="0" w:color="auto"/>
                              </w:divBdr>
                              <w:divsChild>
                                <w:div w:id="1424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8670">
                      <w:marLeft w:val="0"/>
                      <w:marRight w:val="0"/>
                      <w:marTop w:val="0"/>
                      <w:marBottom w:val="0"/>
                      <w:divBdr>
                        <w:top w:val="none" w:sz="0" w:space="0" w:color="auto"/>
                        <w:left w:val="none" w:sz="0" w:space="0" w:color="auto"/>
                        <w:bottom w:val="none" w:sz="0" w:space="0" w:color="auto"/>
                        <w:right w:val="none" w:sz="0" w:space="0" w:color="auto"/>
                      </w:divBdr>
                      <w:divsChild>
                        <w:div w:id="258225142">
                          <w:marLeft w:val="0"/>
                          <w:marRight w:val="0"/>
                          <w:marTop w:val="0"/>
                          <w:marBottom w:val="0"/>
                          <w:divBdr>
                            <w:top w:val="none" w:sz="0" w:space="0" w:color="auto"/>
                            <w:left w:val="none" w:sz="0" w:space="0" w:color="auto"/>
                            <w:bottom w:val="none" w:sz="0" w:space="0" w:color="auto"/>
                            <w:right w:val="none" w:sz="0" w:space="0" w:color="auto"/>
                          </w:divBdr>
                          <w:divsChild>
                            <w:div w:id="1382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7102">
          <w:marLeft w:val="0"/>
          <w:marRight w:val="0"/>
          <w:marTop w:val="0"/>
          <w:marBottom w:val="0"/>
          <w:divBdr>
            <w:top w:val="none" w:sz="0" w:space="0" w:color="auto"/>
            <w:left w:val="none" w:sz="0" w:space="0" w:color="auto"/>
            <w:bottom w:val="none" w:sz="0" w:space="0" w:color="auto"/>
            <w:right w:val="none" w:sz="0" w:space="0" w:color="auto"/>
          </w:divBdr>
          <w:divsChild>
            <w:div w:id="3502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ianfrancofole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Baldassin</dc:creator>
  <cp:keywords/>
  <dc:description/>
  <cp:lastModifiedBy>Giovanna Aliprandi</cp:lastModifiedBy>
  <cp:revision>2</cp:revision>
  <cp:lastPrinted>2022-09-06T08:40:00Z</cp:lastPrinted>
  <dcterms:created xsi:type="dcterms:W3CDTF">2022-09-06T08:43:00Z</dcterms:created>
  <dcterms:modified xsi:type="dcterms:W3CDTF">2022-09-06T08:43:00Z</dcterms:modified>
</cp:coreProperties>
</file>