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Venezia, Isola di San Giorgio Maggiore</w:t>
      </w:r>
    </w:p>
    <w:p w:rsidR="00000000" w:rsidDel="00000000" w:rsidP="00000000" w:rsidRDefault="00000000" w:rsidRPr="00000000" w14:paraId="00000002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Biblioteca del Longhena</w:t>
      </w:r>
    </w:p>
    <w:p w:rsidR="00000000" w:rsidDel="00000000" w:rsidP="00000000" w:rsidRDefault="00000000" w:rsidRPr="00000000" w14:paraId="00000003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 settembre 2024</w:t>
      </w:r>
    </w:p>
    <w:p w:rsidR="00000000" w:rsidDel="00000000" w:rsidP="00000000" w:rsidRDefault="00000000" w:rsidRPr="00000000" w14:paraId="00000004">
      <w:pPr>
        <w:spacing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80" w:lineRule="auto"/>
        <w:jc w:val="left"/>
        <w:rPr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38"/>
          <w:szCs w:val="38"/>
          <w:rtl w:val="0"/>
        </w:rPr>
        <w:t xml:space="preserve">Scheda | T6 Ecosystem &amp; S+T+ARTS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T6 Ecosystem srl è una società di ricerca e consulenza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che si distingue per la sua capacità di spingere i confini della conoscenza 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trasformare idee innovative in soluzioni pratiche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 I ricercatori di T6 combinano competenza e passione per l’innovazione, lavorando all'intersezione tra teoria e applicazione pratica, adottando un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approccio interdisciplinare che unisce metodi quantitativi e qualitativi,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seguendo i principi della ricerca-azione.</w:t>
      </w:r>
    </w:p>
    <w:p w:rsidR="00000000" w:rsidDel="00000000" w:rsidP="00000000" w:rsidRDefault="00000000" w:rsidRPr="00000000" w14:paraId="00000008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T6 Ecosystems sostiene il dialogo tra ricerca, innovazione e società attraverso processi di co-progettazione e partecipazione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 Questi processi coinvolgono vari stakeholder, permettendo loro di collaborare, condividere idee e sviluppare soluzioni a problemi urgenti. Particolare attenzione è dedicata all'inclusività e agli aspetti etici del coinvolgimento dei cittadini, garantendo soluzioni innovative e centrate sull'utente. </w:t>
      </w:r>
    </w:p>
    <w:p w:rsidR="00000000" w:rsidDel="00000000" w:rsidP="00000000" w:rsidRDefault="00000000" w:rsidRPr="00000000" w14:paraId="0000000A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L'azienda lavora inoltre alla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valutazione dell'impatto dei progetti di ricerca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 innovazione, aiutando le organizzazioni a massimizzare gli impatti positivi. Utilizzando un approccio partecipativo e integrato, T6 sviluppa metodologie personalizzate che combinano metodi qualitativi e quantitativi, assicurando che i risultati possano essere facilmente adottati dal team di gestione e utilizzati per il cambiamento e l'advocacy. </w:t>
      </w:r>
    </w:p>
    <w:p w:rsidR="00000000" w:rsidDel="00000000" w:rsidP="00000000" w:rsidRDefault="00000000" w:rsidRPr="00000000" w14:paraId="0000000C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T6, inoltre, progetta e sviluppa strategie per catalizzare un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cambiamento positivo attraverso politiche complete e lungimiranti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.. Il nostro team di esperti collabora per elaborare politiche e raccomandazioni innovative, basate sui dati, che affrontano le sfide contemporanee e gettano le basi per un futuro sostenibile ed equo. Per questo motivo,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promuove la collaborazione tra decisori politici ed esperti del settore privato e pubblico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Dal 2019, T6 è partner di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S+T+ARTS, un'iniziativa della Commissione europea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(finanziata dal programma di ricerca e innovazione dell'Unione europea Horizon 2020)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volta a promuovere alleanze tra scienza, tecnologia e arte,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che implementino efficacemente un approccio europeo all'innovazione tecnologica incentrato sui bisogni e sui valori umani. </w:t>
      </w:r>
    </w:p>
    <w:p w:rsidR="00000000" w:rsidDel="00000000" w:rsidP="00000000" w:rsidRDefault="00000000" w:rsidRPr="00000000" w14:paraId="00000010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La piattaforma S+T+ARTS mira a riunire l'intero ecosistema offrendo servizi e funzionalità specifiche per sviluppare, rafforzare e ampliare la comunità. T6 è attualmente partner del progetto S+T+ARTS Echo e si occupa delle attività di policy dialogue e della valutazione dell'impatto.</w:t>
      </w:r>
    </w:p>
    <w:p w:rsidR="00000000" w:rsidDel="00000000" w:rsidP="00000000" w:rsidRDefault="00000000" w:rsidRPr="00000000" w14:paraId="00000012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spacing w:line="240" w:lineRule="auto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Nell’ottobre 2023 la Fondazione Giorgio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white"/>
          <w:rtl w:val="0"/>
        </w:rPr>
        <w:t xml:space="preserve">Cini, con ARCHiVe, ha os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pitato il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meeting internazionale di T6,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highlight w:val="white"/>
          <w:rtl w:val="0"/>
        </w:rPr>
        <w:t xml:space="preserve">S+T+ARTS Prize: Fostering Regional Innovation through Arts, Science and Technology,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sulle potenzialità e gli strumenti offerti dalla piattaforma S+T+ARTS, avviando così una proficua collaborazione in ambito culturale.</w:t>
      </w:r>
    </w:p>
    <w:p w:rsidR="00000000" w:rsidDel="00000000" w:rsidP="00000000" w:rsidRDefault="00000000" w:rsidRPr="00000000" w14:paraId="00000014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spacing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info |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2"/>
            <w:szCs w:val="22"/>
            <w:u w:val="single"/>
            <w:rtl w:val="0"/>
          </w:rPr>
          <w:t xml:space="preserve">t-6.it/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2"/>
            <w:szCs w:val="22"/>
            <w:u w:val="single"/>
            <w:rtl w:val="0"/>
          </w:rPr>
          <w:t xml:space="preserve">starts.eu</w:t>
        </w:r>
      </w:hyperlink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20" w:w="11900" w:orient="portrait"/>
      <w:pgMar w:bottom="1701" w:top="567" w:left="385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Time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jc w:val="left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tabs>
        <w:tab w:val="center" w:leader="none" w:pos="4819"/>
        <w:tab w:val="right" w:leader="none" w:pos="7457"/>
      </w:tabs>
      <w:rPr/>
    </w:pPr>
    <w:r w:rsidDel="00000000" w:rsidR="00000000" w:rsidRPr="00000000">
      <w:rPr/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-38088</wp:posOffset>
              </wp:positionH>
              <wp:positionV relativeFrom="page">
                <wp:posOffset>-38086</wp:posOffset>
              </wp:positionV>
              <wp:extent cx="7632701" cy="7636218"/>
              <wp:effectExtent b="0" l="0" r="0" t="0"/>
              <wp:wrapNone/>
              <wp:docPr descr="Shape 2"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fmla="val 0" name="adj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-38088</wp:posOffset>
              </wp:positionH>
              <wp:positionV relativeFrom="page">
                <wp:posOffset>-38086</wp:posOffset>
              </wp:positionV>
              <wp:extent cx="7632701" cy="7636218"/>
              <wp:effectExtent b="0" l="0" r="0" t="0"/>
              <wp:wrapNone/>
              <wp:docPr descr="Shape 2" id="5" name="image2.png"/>
              <a:graphic>
                <a:graphicData uri="http://schemas.openxmlformats.org/drawingml/2006/picture">
                  <pic:pic>
                    <pic:nvPicPr>
                      <pic:cNvPr descr="Shape 2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32701" cy="763621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-685</wp:posOffset>
          </wp:positionH>
          <wp:positionV relativeFrom="page">
            <wp:posOffset>0</wp:posOffset>
          </wp:positionV>
          <wp:extent cx="7555511" cy="10692001"/>
          <wp:effectExtent b="0" l="0" r="0" t="0"/>
          <wp:wrapNone/>
          <wp:docPr descr="image1.png" id="6" name="image1.jpg"/>
          <a:graphic>
            <a:graphicData uri="http://schemas.openxmlformats.org/drawingml/2006/picture">
              <pic:pic>
                <pic:nvPicPr>
                  <pic:cNvPr descr="image1.png" id="0" name="image1.jpg"/>
                  <pic:cNvPicPr preferRelativeResize="0"/>
                </pic:nvPicPr>
                <pic:blipFill>
                  <a:blip r:embed="rId2"/>
                  <a:srcRect b="0" l="15" r="14" t="0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Times" w:cs="Times" w:eastAsia="Times" w:hAnsi="Times"/>
        <w:sz w:val="21"/>
        <w:szCs w:val="21"/>
        <w:lang w:val="it-IT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F02A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F02A6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F02A6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F02A6"/>
    <w:rPr>
      <w:b w:val="1"/>
      <w:bCs w:val="1"/>
      <w:sz w:val="20"/>
      <w:szCs w:val="20"/>
    </w:rPr>
  </w:style>
  <w:style w:type="paragraph" w:styleId="NormaleWeb">
    <w:name w:val="Normal (Web)"/>
    <w:basedOn w:val="Normale"/>
    <w:uiPriority w:val="99"/>
    <w:semiHidden w:val="1"/>
    <w:unhideWhenUsed w:val="1"/>
    <w:rsid w:val="00965E8D"/>
    <w:pPr>
      <w:widowControl w:val="1"/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965E8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t-6.it/" TargetMode="External"/><Relationship Id="rId8" Type="http://schemas.openxmlformats.org/officeDocument/2006/relationships/hyperlink" Target="https://starts.e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dZ2GINvp7EJ1lG5cTdhbpJeldA==">CgMxLjAyCWguMzBqMHpsbDIIaC5namRneHM4AHIhMS1qdzBUOTQ1WjFLZ2I0VjdVNnJoTm8wZkhpUkxKWkRF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2024-03-18T16:07:00Z</dcterms:created>
</cp:coreProperties>
</file>