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Didascalie Santuzza Calì – 28 settembre 2024, Teatro Biondo di Palermo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bozzetto.1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Figurino per 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I tre moschettieri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di Alexandre Dumas, 1970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Archivio Santuzza Calì, Istituto per il Teatro e il Melodramma, Fondazione Giorgio Cini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bozzetto.2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Figurino per 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O Cesare o nessuno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di Vittorio Gassmann, 1974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Archivio Santuzza Calì, Istituto per il Teatro e il Melodramma, Fondazione Giorgio Cini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bozzetto.3/4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Bozzetto per 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Una tranquilla dimora di campagna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di Stanislaw Witkiewicz, 1975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Archivio Santuzza Calì, Istituto per il Teatro e il Melodramma, Fondazione Giorgio Cini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Georgia" w:cs="Georgia" w:eastAsia="Georgia" w:hAnsi="Georgia"/>
        </w:rPr>
      </w:pPr>
      <w:bookmarkStart w:colFirst="0" w:colLast="0" w:name="_heading=h.gjdgxs" w:id="0"/>
      <w:bookmarkEnd w:id="0"/>
      <w:r w:rsidDel="00000000" w:rsidR="00000000" w:rsidRPr="00000000">
        <w:rPr>
          <w:rFonts w:ascii="Georgia" w:cs="Georgia" w:eastAsia="Georgia" w:hAnsi="Georgia"/>
          <w:rtl w:val="0"/>
        </w:rPr>
        <w:t xml:space="preserve">bozzetto.5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Figurino per 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La zia di Carlo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di Brandon Thomas, 1994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Archivio Santuzza Calì, Istituto per il Teatro e il Melodramma, Fondazione Giorgio Cini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bozzetto.6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Figurino per 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Le mille e una note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di Gigi Palla da Antoine Galland, 2007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Archivio Santuzza Calì, Istituto per il Teatro e il Melodramma, Fondazione Giorgio Cini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1A3D5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62efDskbqEsUiQDlNIwNNh5SUw==">CgMxLjAyCGguZ2pkZ3hzOAByITFEX3R6cWRNOFE3d2NKTlJBNlhieDVST1daZDl3M0J6Rw==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2024-09-18T12:08:00Z</dcterms:created>
  <dc:creator>Martina Vicentini</dc:creator>
</cp:coreProperties>
</file>